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8518F5" w:rsidRDefault="00265A85" w:rsidP="005B4561">
      <w:pPr>
        <w:ind w:right="-35"/>
        <w:rPr>
          <w:rFonts w:ascii="Bookman Old Style" w:hAnsi="Bookman Old Style" w:cs="Arial"/>
          <w:b/>
          <w:sz w:val="28"/>
          <w:szCs w:val="28"/>
          <w:lang w:val="el-GR"/>
        </w:rPr>
      </w:pPr>
      <w:bookmarkStart w:id="0" w:name="_GoBack"/>
      <w:bookmarkEnd w:id="0"/>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03B6E2E9"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r w:rsidRPr="008518F5">
        <w:rPr>
          <w:rFonts w:ascii="Bookman Old Style" w:hAnsi="Bookman Old Style" w:cs="Arial"/>
          <w:b/>
          <w:i/>
          <w:iCs/>
          <w:sz w:val="28"/>
          <w:szCs w:val="28"/>
          <w:lang w:val="el-GR"/>
        </w:rPr>
        <w:t xml:space="preserve">Αρ. </w:t>
      </w:r>
      <w:r w:rsidR="002A631C" w:rsidRPr="008518F5">
        <w:rPr>
          <w:rFonts w:ascii="Bookman Old Style" w:hAnsi="Bookman Old Style" w:cs="Arial"/>
          <w:b/>
          <w:i/>
          <w:iCs/>
          <w:sz w:val="28"/>
          <w:szCs w:val="28"/>
          <w:lang w:val="el-GR"/>
        </w:rPr>
        <w:t>3/</w:t>
      </w:r>
      <w:r w:rsidRPr="008518F5">
        <w:rPr>
          <w:rFonts w:ascii="Bookman Old Style" w:hAnsi="Bookman Old Style" w:cs="Arial"/>
          <w:b/>
          <w:i/>
          <w:iCs/>
          <w:sz w:val="28"/>
          <w:szCs w:val="28"/>
          <w:lang w:val="el-GR"/>
        </w:rPr>
        <w:t>20</w:t>
      </w:r>
      <w:r w:rsidR="0066270C" w:rsidRPr="000D40E5">
        <w:rPr>
          <w:rFonts w:ascii="Bookman Old Style" w:hAnsi="Bookman Old Style" w:cs="Arial"/>
          <w:b/>
          <w:i/>
          <w:iCs/>
          <w:sz w:val="28"/>
          <w:szCs w:val="28"/>
          <w:lang w:val="el-GR"/>
        </w:rPr>
        <w:t>23</w:t>
      </w:r>
      <w:r w:rsidRPr="008518F5">
        <w:rPr>
          <w:rFonts w:ascii="Bookman Old Style" w:hAnsi="Bookman Old Style" w:cs="Arial"/>
          <w:b/>
          <w:i/>
          <w:iCs/>
          <w:sz w:val="28"/>
          <w:szCs w:val="28"/>
          <w:lang w:val="el-GR"/>
        </w:rPr>
        <w:t>)</w:t>
      </w:r>
    </w:p>
    <w:p w14:paraId="3E2D01FC" w14:textId="652EC8BB" w:rsidR="00265A85" w:rsidRPr="007B79A0" w:rsidRDefault="00706F5C" w:rsidP="005B4561">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7B79A0">
        <w:rPr>
          <w:rFonts w:ascii="Bookman Old Style" w:hAnsi="Bookman Old Style" w:cs="Arial"/>
          <w:i/>
          <w:iCs/>
          <w:sz w:val="28"/>
          <w:szCs w:val="28"/>
          <w:lang w:val="el-GR"/>
        </w:rPr>
        <w:t xml:space="preserve">                       </w:t>
      </w:r>
      <w:r w:rsidRPr="007B79A0">
        <w:rPr>
          <w:rFonts w:ascii="Bookman Old Style" w:hAnsi="Bookman Old Style" w:cs="Arial"/>
          <w:b/>
          <w:bCs/>
          <w:i/>
          <w:iCs/>
          <w:sz w:val="28"/>
          <w:szCs w:val="28"/>
          <w:lang w:val="el-GR"/>
        </w:rPr>
        <w:t>(</w:t>
      </w:r>
      <w:r w:rsidRPr="00706F5C">
        <w:rPr>
          <w:rFonts w:ascii="Bookman Old Style" w:hAnsi="Bookman Old Style" w:cs="Arial"/>
          <w:b/>
          <w:bCs/>
          <w:i/>
          <w:iCs/>
          <w:sz w:val="28"/>
          <w:szCs w:val="28"/>
          <w:lang w:val="en-US"/>
        </w:rPr>
        <w:t>i</w:t>
      </w:r>
      <w:r w:rsidRPr="007B79A0">
        <w:rPr>
          <w:rFonts w:ascii="Bookman Old Style" w:hAnsi="Bookman Old Style" w:cs="Arial"/>
          <w:b/>
          <w:bCs/>
          <w:i/>
          <w:iCs/>
          <w:sz w:val="28"/>
          <w:szCs w:val="28"/>
          <w:lang w:val="el-GR"/>
        </w:rPr>
        <w:t>-</w:t>
      </w:r>
      <w:r w:rsidRPr="00706F5C">
        <w:rPr>
          <w:rFonts w:ascii="Bookman Old Style" w:hAnsi="Bookman Old Style" w:cs="Arial"/>
          <w:b/>
          <w:bCs/>
          <w:i/>
          <w:iCs/>
          <w:sz w:val="28"/>
          <w:szCs w:val="28"/>
          <w:lang w:val="en-US"/>
        </w:rPr>
        <w:t>justice</w:t>
      </w:r>
      <w:r w:rsidRPr="007B79A0">
        <w:rPr>
          <w:rFonts w:ascii="Bookman Old Style" w:hAnsi="Bookman Old Style" w:cs="Arial"/>
          <w:b/>
          <w:bCs/>
          <w:i/>
          <w:iCs/>
          <w:sz w:val="28"/>
          <w:szCs w:val="28"/>
          <w:lang w:val="el-GR"/>
        </w:rPr>
        <w:t>)</w:t>
      </w:r>
    </w:p>
    <w:p w14:paraId="5FB1E4CE" w14:textId="77777777" w:rsidR="00265A85" w:rsidRPr="00706F5C" w:rsidRDefault="00265A85" w:rsidP="005B4561">
      <w:pPr>
        <w:ind w:right="-35"/>
        <w:jc w:val="center"/>
        <w:rPr>
          <w:rFonts w:ascii="Bookman Old Style" w:hAnsi="Bookman Old Style" w:cs="Arial"/>
          <w:b/>
          <w:bCs/>
          <w:sz w:val="28"/>
          <w:szCs w:val="28"/>
          <w:lang w:val="el-GR"/>
        </w:rPr>
      </w:pPr>
    </w:p>
    <w:p w14:paraId="24FB8D8D" w14:textId="77777777" w:rsidR="00E04898" w:rsidRPr="008518F5" w:rsidRDefault="00E04898" w:rsidP="005B4561">
      <w:pPr>
        <w:ind w:right="-35"/>
        <w:jc w:val="center"/>
        <w:rPr>
          <w:rFonts w:ascii="Bookman Old Style" w:hAnsi="Bookman Old Style" w:cs="Arial"/>
          <w:b/>
          <w:sz w:val="28"/>
          <w:szCs w:val="28"/>
          <w:lang w:val="el-GR"/>
        </w:rPr>
      </w:pPr>
    </w:p>
    <w:p w14:paraId="46A39EE2" w14:textId="0E20417A" w:rsidR="00265A85" w:rsidRPr="008518F5" w:rsidRDefault="00A40CF6" w:rsidP="005B4561">
      <w:pPr>
        <w:ind w:right="-35"/>
        <w:jc w:val="center"/>
        <w:rPr>
          <w:rFonts w:ascii="Bookman Old Style" w:hAnsi="Bookman Old Style" w:cs="Arial"/>
          <w:b/>
          <w:sz w:val="28"/>
          <w:szCs w:val="28"/>
          <w:lang w:val="el-GR"/>
        </w:rPr>
      </w:pPr>
      <w:r>
        <w:rPr>
          <w:rFonts w:ascii="Bookman Old Style" w:hAnsi="Bookman Old Style" w:cs="Arial"/>
          <w:b/>
          <w:sz w:val="28"/>
          <w:szCs w:val="28"/>
          <w:lang w:val="el-GR"/>
        </w:rPr>
        <w:t>22 Δεκεμβρίου,</w:t>
      </w:r>
      <w:r w:rsidR="00422938" w:rsidRPr="008518F5">
        <w:rPr>
          <w:rFonts w:ascii="Bookman Old Style" w:hAnsi="Bookman Old Style" w:cs="Arial"/>
          <w:b/>
          <w:sz w:val="28"/>
          <w:szCs w:val="28"/>
          <w:lang w:val="el-GR"/>
        </w:rPr>
        <w:t xml:space="preserve"> 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Δ/στές]</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Default="00265A85" w:rsidP="005B4561">
      <w:pPr>
        <w:ind w:right="-35"/>
        <w:rPr>
          <w:rFonts w:ascii="Bookman Old Style" w:hAnsi="Bookman Old Style" w:cs="Arial"/>
          <w:sz w:val="28"/>
          <w:szCs w:val="28"/>
          <w:u w:val="single"/>
          <w:lang w:val="el-GR"/>
        </w:rPr>
      </w:pPr>
    </w:p>
    <w:p w14:paraId="763EB75E" w14:textId="77777777" w:rsidR="00E04898" w:rsidRPr="008518F5" w:rsidRDefault="00E04898"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20F8CCB6" w:rsidR="00265A85" w:rsidRPr="008518F5" w:rsidRDefault="0066270C" w:rsidP="00AA5174">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n-US"/>
        </w:rPr>
        <w:t>B</w:t>
      </w:r>
      <w:r w:rsidR="007B79A0">
        <w:rPr>
          <w:rFonts w:ascii="Bookman Old Style" w:hAnsi="Bookman Old Style" w:cs="Arial"/>
          <w:sz w:val="28"/>
          <w:szCs w:val="28"/>
          <w:lang w:val="en-US"/>
        </w:rPr>
        <w:t>.</w:t>
      </w:r>
      <w:r>
        <w:rPr>
          <w:rFonts w:ascii="Bookman Old Style" w:hAnsi="Bookman Old Style" w:cs="Arial"/>
          <w:sz w:val="28"/>
          <w:szCs w:val="28"/>
          <w:lang w:val="en-US"/>
        </w:rPr>
        <w:t>S</w:t>
      </w:r>
      <w:r w:rsidR="007B79A0">
        <w:rPr>
          <w:rFonts w:ascii="Bookman Old Style" w:hAnsi="Bookman Old Style" w:cs="Arial"/>
          <w:sz w:val="28"/>
          <w:szCs w:val="28"/>
          <w:lang w:val="en-US"/>
        </w:rPr>
        <w:t>.</w:t>
      </w:r>
      <w:r w:rsidR="00265A85" w:rsidRPr="008518F5">
        <w:rPr>
          <w:rFonts w:ascii="Bookman Old Style" w:hAnsi="Bookman Old Style" w:cs="Arial"/>
          <w:sz w:val="28"/>
          <w:szCs w:val="28"/>
          <w:lang w:val="el-GR"/>
        </w:rPr>
        <w:t>,</w:t>
      </w:r>
    </w:p>
    <w:p w14:paraId="54EB5619" w14:textId="77777777" w:rsidR="00265A85" w:rsidRDefault="00265A85" w:rsidP="00AA5174">
      <w:pPr>
        <w:spacing w:line="276" w:lineRule="auto"/>
        <w:ind w:right="-35"/>
        <w:jc w:val="center"/>
        <w:rPr>
          <w:rFonts w:ascii="Bookman Old Style" w:hAnsi="Bookman Old Style" w:cs="Arial"/>
          <w:sz w:val="28"/>
          <w:szCs w:val="28"/>
          <w:lang w:val="el-GR"/>
        </w:rPr>
      </w:pPr>
    </w:p>
    <w:p w14:paraId="1E957351" w14:textId="77777777" w:rsidR="00E04898" w:rsidRPr="008518F5" w:rsidRDefault="00E04898" w:rsidP="00AA5174">
      <w:pPr>
        <w:spacing w:line="276" w:lineRule="auto"/>
        <w:ind w:right="-35"/>
        <w:jc w:val="center"/>
        <w:rPr>
          <w:rFonts w:ascii="Bookman Old Style" w:hAnsi="Bookman Old Style" w:cs="Arial"/>
          <w:sz w:val="28"/>
          <w:szCs w:val="28"/>
          <w:lang w:val="el-GR"/>
        </w:rPr>
      </w:pPr>
    </w:p>
    <w:p w14:paraId="6352D4AC" w14:textId="129D1707" w:rsidR="00265A85" w:rsidRPr="008518F5" w:rsidRDefault="00904291" w:rsidP="00AA5174">
      <w:pPr>
        <w:spacing w:line="276" w:lineRule="auto"/>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Εφεσείων</w:t>
      </w:r>
      <w:r w:rsidR="00265A85" w:rsidRPr="008518F5">
        <w:rPr>
          <w:rFonts w:ascii="Bookman Old Style" w:hAnsi="Bookman Old Style" w:cs="Arial"/>
          <w:i/>
          <w:iCs/>
          <w:sz w:val="28"/>
          <w:szCs w:val="28"/>
          <w:lang w:val="el-GR"/>
        </w:rPr>
        <w:t>/</w:t>
      </w:r>
      <w:r w:rsidR="0066270C">
        <w:rPr>
          <w:rFonts w:ascii="Bookman Old Style" w:hAnsi="Bookman Old Style" w:cs="Arial"/>
          <w:i/>
          <w:iCs/>
          <w:sz w:val="28"/>
          <w:szCs w:val="28"/>
          <w:lang w:val="el-GR"/>
        </w:rPr>
        <w:t>Αιτητή</w:t>
      </w:r>
      <w:r w:rsidR="00265A85" w:rsidRPr="008518F5">
        <w:rPr>
          <w:rFonts w:ascii="Bookman Old Style" w:hAnsi="Bookman Old Style" w:cs="Arial"/>
          <w:i/>
          <w:iCs/>
          <w:sz w:val="28"/>
          <w:szCs w:val="28"/>
          <w:lang w:val="el-GR"/>
        </w:rPr>
        <w:t>ς,</w:t>
      </w:r>
    </w:p>
    <w:p w14:paraId="7BB5B148" w14:textId="77777777" w:rsidR="00265A85" w:rsidRPr="008518F5" w:rsidRDefault="00265A85" w:rsidP="00AA5174">
      <w:pPr>
        <w:spacing w:line="276" w:lineRule="auto"/>
        <w:ind w:right="-35"/>
        <w:jc w:val="right"/>
        <w:rPr>
          <w:rFonts w:ascii="Bookman Old Style" w:hAnsi="Bookman Old Style" w:cs="Arial"/>
          <w:i/>
          <w:iCs/>
          <w:sz w:val="28"/>
          <w:szCs w:val="28"/>
          <w:lang w:val="el-GR"/>
        </w:rPr>
      </w:pPr>
    </w:p>
    <w:p w14:paraId="045F1F74" w14:textId="77777777" w:rsidR="00265A85" w:rsidRDefault="00265A85" w:rsidP="00AA5174">
      <w:pPr>
        <w:spacing w:line="276" w:lineRule="auto"/>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291673F5" w14:textId="77777777" w:rsidR="00E04898" w:rsidRPr="008518F5" w:rsidRDefault="00E04898" w:rsidP="00AA5174">
      <w:pPr>
        <w:spacing w:line="276" w:lineRule="auto"/>
        <w:ind w:right="-35"/>
        <w:jc w:val="center"/>
        <w:rPr>
          <w:rFonts w:ascii="Bookman Old Style" w:hAnsi="Bookman Old Style" w:cs="Arial"/>
          <w:sz w:val="28"/>
          <w:szCs w:val="28"/>
          <w:lang w:val="el-GR"/>
        </w:rPr>
      </w:pPr>
    </w:p>
    <w:p w14:paraId="50466833" w14:textId="77777777" w:rsidR="00265A85" w:rsidRPr="008518F5" w:rsidRDefault="00265A85" w:rsidP="00AA5174">
      <w:pPr>
        <w:spacing w:line="276" w:lineRule="auto"/>
        <w:ind w:right="-35"/>
        <w:jc w:val="center"/>
        <w:rPr>
          <w:rFonts w:ascii="Bookman Old Style" w:hAnsi="Bookman Old Style" w:cs="Arial"/>
          <w:sz w:val="28"/>
          <w:szCs w:val="28"/>
          <w:lang w:val="el-GR"/>
        </w:rPr>
      </w:pPr>
    </w:p>
    <w:p w14:paraId="6B88EDF1" w14:textId="77777777" w:rsidR="0066270C" w:rsidRDefault="0066270C" w:rsidP="00AA5174">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ΚΥΠΡΙΑΚΗΣ ΔΗΜΟΚΡΑΤΙΑΣ, ΜΕΣΩ</w:t>
      </w:r>
    </w:p>
    <w:p w14:paraId="38185C2C" w14:textId="28318F87" w:rsidR="00265A85" w:rsidRDefault="0066270C" w:rsidP="00AA5174">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ΤΟΥ ΓΕΝΙΚΟΥ ΕΙΣΑΓΓΕΛΕΑ ΤΗΣ ΔΗΜΟΚΡΑΤΙΑΣ</w:t>
      </w:r>
      <w:r w:rsidR="00265A85" w:rsidRPr="008518F5">
        <w:rPr>
          <w:rFonts w:ascii="Bookman Old Style" w:hAnsi="Bookman Old Style" w:cs="Arial"/>
          <w:sz w:val="28"/>
          <w:szCs w:val="28"/>
          <w:lang w:val="el-GR"/>
        </w:rPr>
        <w:t>,</w:t>
      </w:r>
    </w:p>
    <w:p w14:paraId="15973F8F" w14:textId="77777777" w:rsidR="00E04898" w:rsidRPr="008518F5" w:rsidRDefault="00E04898" w:rsidP="00AA5174">
      <w:pPr>
        <w:spacing w:line="276" w:lineRule="auto"/>
        <w:ind w:right="-35"/>
        <w:jc w:val="center"/>
        <w:rPr>
          <w:rFonts w:ascii="Bookman Old Style" w:hAnsi="Bookman Old Style" w:cs="Arial"/>
          <w:sz w:val="28"/>
          <w:szCs w:val="28"/>
          <w:lang w:val="el-GR"/>
        </w:rPr>
      </w:pPr>
    </w:p>
    <w:p w14:paraId="1994D030" w14:textId="77777777" w:rsidR="00265A85" w:rsidRPr="008518F5" w:rsidRDefault="00265A85" w:rsidP="00AA5174">
      <w:pPr>
        <w:spacing w:line="276" w:lineRule="auto"/>
        <w:ind w:right="-35"/>
        <w:rPr>
          <w:rFonts w:ascii="Bookman Old Style" w:hAnsi="Bookman Old Style" w:cs="Arial"/>
          <w:sz w:val="28"/>
          <w:szCs w:val="28"/>
          <w:lang w:val="el-GR"/>
        </w:rPr>
      </w:pPr>
    </w:p>
    <w:p w14:paraId="7D0390DC" w14:textId="597D74EC" w:rsidR="00265A85" w:rsidRDefault="00265A85" w:rsidP="00AA5174">
      <w:pPr>
        <w:spacing w:line="276" w:lineRule="auto"/>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Εφεσίβλητου/</w:t>
      </w:r>
      <w:r w:rsidR="0066270C">
        <w:rPr>
          <w:rFonts w:ascii="Bookman Old Style" w:hAnsi="Bookman Old Style" w:cs="Arial"/>
          <w:i/>
          <w:iCs/>
          <w:sz w:val="28"/>
          <w:szCs w:val="28"/>
          <w:lang w:val="el-GR"/>
        </w:rPr>
        <w:t>Καθ’ου η Αίτηση</w:t>
      </w:r>
      <w:r w:rsidRPr="008518F5">
        <w:rPr>
          <w:rFonts w:ascii="Bookman Old Style" w:hAnsi="Bookman Old Style" w:cs="Arial"/>
          <w:i/>
          <w:iCs/>
          <w:sz w:val="28"/>
          <w:szCs w:val="28"/>
          <w:lang w:val="el-GR"/>
        </w:rPr>
        <w:t>.</w:t>
      </w:r>
    </w:p>
    <w:p w14:paraId="1F9CF652" w14:textId="77777777" w:rsidR="00541D6D" w:rsidRDefault="00541D6D" w:rsidP="00AA5174">
      <w:pPr>
        <w:spacing w:line="276" w:lineRule="auto"/>
        <w:ind w:right="-35"/>
        <w:jc w:val="right"/>
        <w:rPr>
          <w:rFonts w:ascii="Bookman Old Style" w:hAnsi="Bookman Old Style" w:cs="Arial"/>
          <w:i/>
          <w:iCs/>
          <w:sz w:val="28"/>
          <w:szCs w:val="28"/>
          <w:lang w:val="el-GR"/>
        </w:rPr>
      </w:pPr>
    </w:p>
    <w:p w14:paraId="6699D11D" w14:textId="77777777" w:rsidR="00541D6D" w:rsidRDefault="00541D6D" w:rsidP="00AA5174">
      <w:pPr>
        <w:spacing w:line="276" w:lineRule="auto"/>
        <w:ind w:right="-35"/>
        <w:jc w:val="right"/>
        <w:rPr>
          <w:rFonts w:ascii="Bookman Old Style" w:hAnsi="Bookman Old Style" w:cs="Arial"/>
          <w:i/>
          <w:iCs/>
          <w:sz w:val="28"/>
          <w:szCs w:val="28"/>
          <w:lang w:val="el-GR"/>
        </w:rPr>
      </w:pPr>
    </w:p>
    <w:p w14:paraId="0F4AC456" w14:textId="77777777" w:rsidR="00541D6D" w:rsidRDefault="00541D6D" w:rsidP="00AA5174">
      <w:pPr>
        <w:spacing w:line="276" w:lineRule="auto"/>
        <w:ind w:right="-35"/>
        <w:jc w:val="right"/>
        <w:rPr>
          <w:rFonts w:ascii="Bookman Old Style" w:hAnsi="Bookman Old Style" w:cs="Arial"/>
          <w:i/>
          <w:iCs/>
          <w:sz w:val="28"/>
          <w:szCs w:val="28"/>
          <w:lang w:val="el-GR"/>
        </w:rPr>
      </w:pPr>
    </w:p>
    <w:p w14:paraId="37F1D59E" w14:textId="4A1A58D4" w:rsidR="002B3441" w:rsidRPr="002B3441" w:rsidRDefault="002B3441" w:rsidP="00E10F96">
      <w:pPr>
        <w:ind w:right="-35"/>
        <w:jc w:val="both"/>
        <w:rPr>
          <w:rFonts w:ascii="Bookman Old Style" w:hAnsi="Bookman Old Style" w:cs="Arial"/>
          <w:sz w:val="28"/>
          <w:szCs w:val="28"/>
          <w:u w:val="double"/>
          <w:lang w:val="el-GR"/>
        </w:rPr>
      </w:pPr>
      <w:r>
        <w:rPr>
          <w:rFonts w:ascii="Bookman Old Style" w:hAnsi="Bookman Old Style" w:cs="Arial"/>
          <w:sz w:val="28"/>
          <w:szCs w:val="28"/>
          <w:u w:val="double"/>
          <w:lang w:val="el-GR"/>
        </w:rPr>
        <w:t>_____________________________________________________________________</w:t>
      </w:r>
    </w:p>
    <w:p w14:paraId="7EFB6188" w14:textId="77777777" w:rsidR="002B3441" w:rsidRDefault="002B3441" w:rsidP="00E10F96">
      <w:pPr>
        <w:ind w:right="-35"/>
        <w:jc w:val="both"/>
        <w:rPr>
          <w:rFonts w:ascii="Bookman Old Style" w:hAnsi="Bookman Old Style" w:cs="Arial"/>
          <w:i/>
          <w:iCs/>
          <w:sz w:val="28"/>
          <w:szCs w:val="28"/>
          <w:lang w:val="el-GR"/>
        </w:rPr>
      </w:pPr>
    </w:p>
    <w:p w14:paraId="2D111E44" w14:textId="216EBF6B" w:rsidR="00265A85" w:rsidRDefault="00AD35F6" w:rsidP="00E10F96">
      <w:pPr>
        <w:ind w:right="-35"/>
        <w:jc w:val="both"/>
        <w:rPr>
          <w:rFonts w:ascii="Bookman Old Style" w:hAnsi="Bookman Old Style" w:cs="Arial"/>
          <w:iCs/>
          <w:sz w:val="28"/>
          <w:szCs w:val="28"/>
          <w:lang w:val="el-GR"/>
        </w:rPr>
      </w:pPr>
      <w:r w:rsidRPr="00AD35F6">
        <w:rPr>
          <w:rFonts w:ascii="Bookman Old Style" w:hAnsi="Bookman Old Style" w:cs="Arial"/>
          <w:i/>
          <w:sz w:val="28"/>
          <w:szCs w:val="28"/>
          <w:lang w:val="el-GR"/>
        </w:rPr>
        <w:t>Α. Σάββα</w:t>
      </w:r>
      <w:r>
        <w:rPr>
          <w:rFonts w:ascii="Bookman Old Style" w:hAnsi="Bookman Old Style" w:cs="Arial"/>
          <w:iCs/>
          <w:sz w:val="28"/>
          <w:szCs w:val="28"/>
          <w:lang w:val="el-GR"/>
        </w:rPr>
        <w:t>,</w:t>
      </w:r>
      <w:r w:rsidR="002B3441">
        <w:rPr>
          <w:rFonts w:ascii="Bookman Old Style" w:hAnsi="Bookman Old Style" w:cs="Arial"/>
          <w:iCs/>
          <w:sz w:val="28"/>
          <w:szCs w:val="28"/>
          <w:lang w:val="el-GR"/>
        </w:rPr>
        <w:t xml:space="preserve"> </w:t>
      </w:r>
      <w:r w:rsidR="00265A85" w:rsidRPr="008518F5">
        <w:rPr>
          <w:rFonts w:ascii="Bookman Old Style" w:hAnsi="Bookman Old Style" w:cs="Arial"/>
          <w:iCs/>
          <w:sz w:val="28"/>
          <w:szCs w:val="28"/>
          <w:lang w:val="el-GR"/>
        </w:rPr>
        <w:t>για τον Εφεσείοντα.</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193EC334" w14:textId="64394F51" w:rsidR="00AD35F6" w:rsidRDefault="00AD35F6" w:rsidP="00AD35F6">
      <w:pPr>
        <w:ind w:right="-35"/>
        <w:jc w:val="both"/>
        <w:rPr>
          <w:rFonts w:ascii="Bookman Old Style" w:hAnsi="Bookman Old Style" w:cs="Arial"/>
          <w:iCs/>
          <w:sz w:val="28"/>
          <w:szCs w:val="28"/>
          <w:lang w:val="el-GR"/>
        </w:rPr>
      </w:pPr>
      <w:r w:rsidRPr="00AD35F6">
        <w:rPr>
          <w:rFonts w:ascii="Bookman Old Style" w:hAnsi="Bookman Old Style" w:cs="Arial"/>
          <w:i/>
          <w:sz w:val="28"/>
          <w:szCs w:val="28"/>
          <w:lang w:val="el-GR"/>
        </w:rPr>
        <w:t>Φρ. Σωτηρίου</w:t>
      </w:r>
      <w:r>
        <w:rPr>
          <w:rFonts w:ascii="Bookman Old Style" w:hAnsi="Bookman Old Style" w:cs="Arial"/>
          <w:i/>
          <w:sz w:val="28"/>
          <w:szCs w:val="28"/>
          <w:lang w:val="el-GR"/>
        </w:rPr>
        <w:t xml:space="preserve"> </w:t>
      </w:r>
      <w:r w:rsidRPr="00AD35F6">
        <w:rPr>
          <w:rFonts w:ascii="Bookman Old Style" w:hAnsi="Bookman Old Style" w:cs="Arial"/>
          <w:i/>
          <w:sz w:val="28"/>
          <w:szCs w:val="28"/>
          <w:lang w:val="el-GR"/>
        </w:rPr>
        <w:t>(κα)</w:t>
      </w:r>
      <w:r>
        <w:rPr>
          <w:rFonts w:ascii="Bookman Old Style" w:hAnsi="Bookman Old Style" w:cs="Arial"/>
          <w:iCs/>
          <w:sz w:val="28"/>
          <w:szCs w:val="28"/>
          <w:lang w:val="el-GR"/>
        </w:rPr>
        <w:t>, Δικηγόρος της Δημοκρατίας Α</w:t>
      </w:r>
      <w:r w:rsidR="009156CA">
        <w:rPr>
          <w:rFonts w:ascii="Bookman Old Style" w:hAnsi="Bookman Old Style" w:cs="Arial"/>
          <w:iCs/>
          <w:sz w:val="28"/>
          <w:szCs w:val="28"/>
          <w:lang w:val="el-GR"/>
        </w:rPr>
        <w:t>΄</w:t>
      </w:r>
      <w:r w:rsidR="00491D1D">
        <w:rPr>
          <w:rFonts w:ascii="Bookman Old Style" w:hAnsi="Bookman Old Style" w:cs="Arial"/>
          <w:iCs/>
          <w:sz w:val="28"/>
          <w:szCs w:val="28"/>
          <w:lang w:val="el-GR"/>
        </w:rPr>
        <w:t>,</w:t>
      </w:r>
      <w:r w:rsidR="009156CA">
        <w:rPr>
          <w:rFonts w:ascii="Bookman Old Style" w:hAnsi="Bookman Old Style" w:cs="Arial"/>
          <w:iCs/>
          <w:sz w:val="28"/>
          <w:szCs w:val="28"/>
          <w:lang w:val="el-GR"/>
        </w:rPr>
        <w:t xml:space="preserve"> εκ μέρους του Γενικού Εισαγγελέα, </w:t>
      </w:r>
      <w:r w:rsidRPr="00AD35F6">
        <w:rPr>
          <w:rFonts w:ascii="Bookman Old Style" w:hAnsi="Bookman Old Style" w:cs="Arial"/>
          <w:iCs/>
          <w:sz w:val="28"/>
          <w:szCs w:val="28"/>
          <w:lang w:val="el-GR"/>
        </w:rPr>
        <w:t xml:space="preserve">για </w:t>
      </w:r>
      <w:r w:rsidRPr="008518F5">
        <w:rPr>
          <w:rFonts w:ascii="Bookman Old Style" w:hAnsi="Bookman Old Style" w:cs="Arial"/>
          <w:sz w:val="28"/>
          <w:szCs w:val="28"/>
          <w:lang w:val="el-GR"/>
        </w:rPr>
        <w:t>τον Εφεσίβλητο</w:t>
      </w:r>
      <w:r w:rsidRPr="008518F5">
        <w:rPr>
          <w:rFonts w:ascii="Bookman Old Style" w:hAnsi="Bookman Old Style" w:cs="Arial"/>
          <w:iCs/>
          <w:sz w:val="28"/>
          <w:szCs w:val="28"/>
          <w:lang w:val="el-GR"/>
        </w:rPr>
        <w:t>.</w:t>
      </w:r>
    </w:p>
    <w:p w14:paraId="6C040559" w14:textId="17D365DA" w:rsidR="00E04898" w:rsidRDefault="00E04898" w:rsidP="005B4561">
      <w:pPr>
        <w:ind w:left="397" w:right="-35" w:hanging="113"/>
        <w:jc w:val="both"/>
        <w:rPr>
          <w:rFonts w:ascii="Bookman Old Style" w:hAnsi="Bookman Old Style" w:cs="Arial"/>
          <w:iCs/>
          <w:sz w:val="28"/>
          <w:szCs w:val="28"/>
          <w:lang w:val="el-GR"/>
        </w:rPr>
      </w:pPr>
    </w:p>
    <w:p w14:paraId="2017F530" w14:textId="195B6192" w:rsidR="00904291" w:rsidRDefault="002B3441" w:rsidP="002B3441">
      <w:pPr>
        <w:spacing w:line="360" w:lineRule="auto"/>
        <w:ind w:left="2610" w:right="-35" w:hanging="2610"/>
        <w:jc w:val="both"/>
        <w:rPr>
          <w:rFonts w:ascii="Bookman Old Style" w:hAnsi="Bookman Old Style" w:cs="Arial"/>
          <w:b/>
          <w:sz w:val="28"/>
          <w:szCs w:val="28"/>
          <w:u w:val="double"/>
          <w:lang w:val="el-GR"/>
        </w:rPr>
      </w:pPr>
      <w:r>
        <w:rPr>
          <w:rFonts w:ascii="Bookman Old Style" w:hAnsi="Bookman Old Style" w:cs="Arial"/>
          <w:b/>
          <w:sz w:val="28"/>
          <w:szCs w:val="28"/>
          <w:u w:val="double"/>
          <w:lang w:val="el-GR"/>
        </w:rPr>
        <w:t>_____________________________________________________________________</w:t>
      </w:r>
    </w:p>
    <w:p w14:paraId="5225F1E7" w14:textId="1C2C865C" w:rsidR="00E544DA"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49EF7050" w14:textId="033FF7BB" w:rsidR="00E04898" w:rsidRPr="00E04898" w:rsidRDefault="00E04898" w:rsidP="005B4561">
      <w:pPr>
        <w:spacing w:line="360" w:lineRule="auto"/>
        <w:ind w:left="2610" w:right="-35" w:hanging="2326"/>
        <w:jc w:val="both"/>
        <w:rPr>
          <w:rFonts w:ascii="Bookman Old Style" w:hAnsi="Bookman Old Style" w:cs="Arial"/>
          <w:b/>
          <w:sz w:val="28"/>
          <w:szCs w:val="28"/>
          <w:u w:val="thick"/>
          <w:lang w:val="el-GR"/>
        </w:rPr>
      </w:pPr>
      <w:r>
        <w:rPr>
          <w:rFonts w:ascii="Bookman Old Style" w:hAnsi="Bookman Old Style" w:cs="Arial"/>
          <w:b/>
          <w:sz w:val="28"/>
          <w:szCs w:val="28"/>
          <w:u w:val="thick"/>
          <w:lang w:val="el-GR"/>
        </w:rPr>
        <w:t>___________________________________________________________________</w:t>
      </w:r>
    </w:p>
    <w:p w14:paraId="32B4E8C6" w14:textId="77777777" w:rsidR="00541D6D" w:rsidRDefault="00541D6D" w:rsidP="005B4561">
      <w:pPr>
        <w:spacing w:line="360" w:lineRule="auto"/>
        <w:ind w:right="-35"/>
        <w:jc w:val="center"/>
        <w:rPr>
          <w:rFonts w:ascii="Bookman Old Style" w:hAnsi="Bookman Old Style" w:cs="Arial"/>
          <w:b/>
          <w:bCs/>
          <w:caps/>
          <w:sz w:val="36"/>
          <w:szCs w:val="36"/>
          <w:u w:val="thick"/>
          <w:lang w:val="el-GR"/>
        </w:rPr>
      </w:pPr>
    </w:p>
    <w:p w14:paraId="21CB534D" w14:textId="425ADBF4"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593F39DE" w14:textId="3D2ADDB2" w:rsidR="001E50AA" w:rsidRDefault="00422938" w:rsidP="0096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1E50AA">
        <w:rPr>
          <w:rFonts w:ascii="Bookman Old Style" w:hAnsi="Bookman Old Style" w:cs="Arial"/>
          <w:sz w:val="28"/>
          <w:szCs w:val="28"/>
          <w:lang w:val="el-GR"/>
        </w:rPr>
        <w:t>Κατόπιν ακροαματικής διαδικασίας το Επαρχιακό Δικαστήριο Λάρνακας στις 19/5/2023 «</w:t>
      </w:r>
      <w:r w:rsidR="001E50AA">
        <w:rPr>
          <w:rFonts w:ascii="Bookman Old Style" w:hAnsi="Bookman Old Style" w:cs="Arial"/>
          <w:i/>
          <w:iCs/>
          <w:sz w:val="28"/>
          <w:szCs w:val="28"/>
          <w:lang w:val="el-GR"/>
        </w:rPr>
        <w:t>διέταξε την έκδοση του Εφεσείοντα</w:t>
      </w:r>
      <w:r w:rsidR="001E50AA">
        <w:rPr>
          <w:rFonts w:ascii="Bookman Old Style" w:hAnsi="Bookman Old Style" w:cs="Arial"/>
          <w:sz w:val="28"/>
          <w:szCs w:val="28"/>
          <w:lang w:val="el-GR"/>
        </w:rPr>
        <w:t>» και παράλληλα διέταξε όπως παραμείνει υπό κράτηση μέχρις ότου εκδοθεί στη Ρωσική Ομοσπονδία</w:t>
      </w:r>
      <w:r w:rsidR="007B56C6">
        <w:rPr>
          <w:rFonts w:ascii="Bookman Old Style" w:hAnsi="Bookman Old Style" w:cs="Arial"/>
          <w:sz w:val="28"/>
          <w:szCs w:val="28"/>
          <w:lang w:val="el-GR"/>
        </w:rPr>
        <w:t>, προκειμένου να δικαστεί για το έγκλημα της Κλοπής από τον Ομοσπονδιακό Προϋπολογισμό της Ρωσικής Ομοσπονδίας, παρέχοντας εν γνώσει του ψευδείς και παραπλανητικές πληροφορίες κατά την ανάκτηση αποζημιώσεων σε σχέση με υλικές ζημιές που προέκυψαν από το γνωστό ατύχημα στο Τσέρνομπιλ.</w:t>
      </w:r>
    </w:p>
    <w:p w14:paraId="1BB3C113" w14:textId="77777777" w:rsidR="001E50AA" w:rsidRDefault="001E50AA" w:rsidP="00963265">
      <w:pPr>
        <w:spacing w:line="480" w:lineRule="auto"/>
        <w:ind w:right="-35"/>
        <w:jc w:val="both"/>
        <w:rPr>
          <w:rFonts w:ascii="Bookman Old Style" w:hAnsi="Bookman Old Style" w:cs="Arial"/>
          <w:sz w:val="28"/>
          <w:szCs w:val="28"/>
          <w:lang w:val="el-GR"/>
        </w:rPr>
      </w:pPr>
    </w:p>
    <w:p w14:paraId="507356CC" w14:textId="13575FE8" w:rsidR="00422938" w:rsidRDefault="001E50A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Εφεσείων, ενεργώντας δυνάμει του </w:t>
      </w:r>
      <w:r>
        <w:rPr>
          <w:rFonts w:ascii="Bookman Old Style" w:hAnsi="Bookman Old Style" w:cs="Arial"/>
          <w:b/>
          <w:bCs/>
          <w:i/>
          <w:iCs/>
          <w:sz w:val="28"/>
          <w:szCs w:val="28"/>
          <w:lang w:val="el-GR"/>
        </w:rPr>
        <w:t>Άρθρου 10(1) του περί Εκδόσεως Φυγοδίκων Νόμου του 1970, Ν. 97/1970</w:t>
      </w:r>
      <w:r>
        <w:rPr>
          <w:rFonts w:ascii="Bookman Old Style" w:hAnsi="Bookman Old Style" w:cs="Arial"/>
          <w:sz w:val="28"/>
          <w:szCs w:val="28"/>
          <w:lang w:val="el-GR"/>
        </w:rPr>
        <w:t xml:space="preserve">, καταχώρισε στο Ανώτατο Δικαστήριο την Αίτηση με αρ. 63/2023 για την έκδοση Εντάλματος </w:t>
      </w:r>
      <w:r>
        <w:rPr>
          <w:rFonts w:ascii="Bookman Old Style" w:hAnsi="Bookman Old Style" w:cs="Arial"/>
          <w:i/>
          <w:iCs/>
          <w:sz w:val="28"/>
          <w:szCs w:val="28"/>
          <w:lang w:val="en-US"/>
        </w:rPr>
        <w:t>Habeas</w:t>
      </w:r>
      <w:r w:rsidRPr="001E50AA">
        <w:rPr>
          <w:rFonts w:ascii="Bookman Old Style" w:hAnsi="Bookman Old Style" w:cs="Arial"/>
          <w:i/>
          <w:iCs/>
          <w:sz w:val="28"/>
          <w:szCs w:val="28"/>
          <w:lang w:val="el-GR"/>
        </w:rPr>
        <w:t xml:space="preserve"> </w:t>
      </w:r>
      <w:r>
        <w:rPr>
          <w:rFonts w:ascii="Bookman Old Style" w:hAnsi="Bookman Old Style" w:cs="Arial"/>
          <w:i/>
          <w:iCs/>
          <w:sz w:val="28"/>
          <w:szCs w:val="28"/>
          <w:lang w:val="en-US"/>
        </w:rPr>
        <w:t>Corpus</w:t>
      </w:r>
      <w:r>
        <w:rPr>
          <w:rFonts w:ascii="Bookman Old Style" w:hAnsi="Bookman Old Style" w:cs="Arial"/>
          <w:sz w:val="28"/>
          <w:szCs w:val="28"/>
          <w:lang w:val="el-GR"/>
        </w:rPr>
        <w:t xml:space="preserve">, προσβάλλοντας τη νομιμότητα της κράτησής του. </w:t>
      </w:r>
    </w:p>
    <w:p w14:paraId="1B4FB950" w14:textId="77777777" w:rsidR="001E50AA" w:rsidRDefault="001E50AA" w:rsidP="00963265">
      <w:pPr>
        <w:spacing w:line="480" w:lineRule="auto"/>
        <w:ind w:right="-35"/>
        <w:jc w:val="both"/>
        <w:rPr>
          <w:rFonts w:ascii="Bookman Old Style" w:hAnsi="Bookman Old Style" w:cs="Arial"/>
          <w:sz w:val="28"/>
          <w:szCs w:val="28"/>
          <w:lang w:val="el-GR"/>
        </w:rPr>
      </w:pPr>
    </w:p>
    <w:p w14:paraId="71978E9A" w14:textId="3611CAFD" w:rsidR="001E50AA" w:rsidRDefault="001E50A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την Αίτηση του ο Εφεσείων προέβαλε δύο ζητήματα. </w:t>
      </w:r>
    </w:p>
    <w:p w14:paraId="4E885C46" w14:textId="77777777" w:rsidR="001E50AA" w:rsidRDefault="001E50AA" w:rsidP="00963265">
      <w:pPr>
        <w:spacing w:line="480" w:lineRule="auto"/>
        <w:ind w:right="-35"/>
        <w:jc w:val="both"/>
        <w:rPr>
          <w:rFonts w:ascii="Bookman Old Style" w:hAnsi="Bookman Old Style" w:cs="Arial"/>
          <w:sz w:val="28"/>
          <w:szCs w:val="28"/>
          <w:lang w:val="el-GR"/>
        </w:rPr>
      </w:pPr>
    </w:p>
    <w:p w14:paraId="60C8D323" w14:textId="79CD6064" w:rsidR="001E50AA" w:rsidRDefault="001E50A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Κατά πρώτον, ότι η Αίτηση Έκδοσης ήτο απαράδεκτη εφόσον δεν ικανοποιούνταν οι προϋποθέσεις του Νόμου. Συγκεκριμένα ότι το έγγραφο που καταχωρίστηκε ως το σχετικό </w:t>
      </w:r>
      <w:r w:rsidR="00783005">
        <w:rPr>
          <w:rFonts w:ascii="Bookman Old Style" w:hAnsi="Bookman Old Style" w:cs="Arial"/>
          <w:sz w:val="28"/>
          <w:szCs w:val="28"/>
          <w:lang w:val="el-GR"/>
        </w:rPr>
        <w:t>Δ</w:t>
      </w:r>
      <w:r>
        <w:rPr>
          <w:rFonts w:ascii="Bookman Old Style" w:hAnsi="Bookman Old Style" w:cs="Arial"/>
          <w:sz w:val="28"/>
          <w:szCs w:val="28"/>
          <w:lang w:val="el-GR"/>
        </w:rPr>
        <w:t xml:space="preserve">ιάταγμα Ρωσικού Δικαστηρίου δεν αποτελούσε ένταλμα σύλληψης εν τη εννοία του </w:t>
      </w:r>
      <w:r>
        <w:rPr>
          <w:rFonts w:ascii="Bookman Old Style" w:hAnsi="Bookman Old Style" w:cs="Arial"/>
          <w:b/>
          <w:bCs/>
          <w:i/>
          <w:iCs/>
          <w:sz w:val="28"/>
          <w:szCs w:val="28"/>
          <w:lang w:val="el-GR"/>
        </w:rPr>
        <w:t>Άρθρου 12(2)(α)</w:t>
      </w:r>
      <w:r>
        <w:rPr>
          <w:rFonts w:ascii="Bookman Old Style" w:hAnsi="Bookman Old Style" w:cs="Arial"/>
          <w:sz w:val="28"/>
          <w:szCs w:val="28"/>
          <w:lang w:val="el-GR"/>
        </w:rPr>
        <w:t xml:space="preserve"> </w:t>
      </w:r>
      <w:r w:rsidRPr="001E50AA">
        <w:rPr>
          <w:rFonts w:ascii="Bookman Old Style" w:hAnsi="Bookman Old Style" w:cs="Arial"/>
          <w:b/>
          <w:bCs/>
          <w:i/>
          <w:iCs/>
          <w:sz w:val="28"/>
          <w:szCs w:val="28"/>
          <w:lang w:val="el-GR"/>
        </w:rPr>
        <w:t>του</w:t>
      </w:r>
      <w:r>
        <w:rPr>
          <w:rFonts w:ascii="Bookman Old Style" w:hAnsi="Bookman Old Style" w:cs="Arial"/>
          <w:sz w:val="28"/>
          <w:szCs w:val="28"/>
          <w:lang w:val="el-GR"/>
        </w:rPr>
        <w:t xml:space="preserve"> </w:t>
      </w:r>
      <w:r>
        <w:rPr>
          <w:rFonts w:ascii="Bookman Old Style" w:hAnsi="Bookman Old Style" w:cs="Arial"/>
          <w:b/>
          <w:bCs/>
          <w:i/>
          <w:iCs/>
          <w:sz w:val="28"/>
          <w:szCs w:val="28"/>
          <w:lang w:val="el-GR"/>
        </w:rPr>
        <w:t>περί της Ευρωπαϊκής Συμβάσεως Έκδοσης Φυγοδίκων Νόμου,                     Ν. 95/1970</w:t>
      </w:r>
      <w:r>
        <w:rPr>
          <w:rFonts w:ascii="Bookman Old Style" w:hAnsi="Bookman Old Style" w:cs="Arial"/>
          <w:sz w:val="28"/>
          <w:szCs w:val="28"/>
          <w:lang w:val="el-GR"/>
        </w:rPr>
        <w:t>.</w:t>
      </w:r>
    </w:p>
    <w:p w14:paraId="44B084D4" w14:textId="77777777" w:rsidR="001E50AA" w:rsidRDefault="001E50AA" w:rsidP="00963265">
      <w:pPr>
        <w:spacing w:line="480" w:lineRule="auto"/>
        <w:ind w:right="-35"/>
        <w:jc w:val="both"/>
        <w:rPr>
          <w:rFonts w:ascii="Bookman Old Style" w:hAnsi="Bookman Old Style" w:cs="Arial"/>
          <w:sz w:val="28"/>
          <w:szCs w:val="28"/>
          <w:lang w:val="el-GR"/>
        </w:rPr>
      </w:pPr>
    </w:p>
    <w:p w14:paraId="57BCF7E4" w14:textId="5D646E4D" w:rsidR="001E50AA" w:rsidRDefault="001E50A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Κατά δεύτερον, ότι οι προσκομισθείσες εγγυήσεις πως ο Εφεσείων δεν θα τύχει δυσμενούς μεταχειρίσεως κατά την εκδίκαση της υπόθεσής του, κατά τα προβλεπόμενα από το </w:t>
      </w:r>
      <w:r>
        <w:rPr>
          <w:rFonts w:ascii="Bookman Old Style" w:hAnsi="Bookman Old Style" w:cs="Arial"/>
          <w:b/>
          <w:bCs/>
          <w:i/>
          <w:iCs/>
          <w:sz w:val="28"/>
          <w:szCs w:val="28"/>
          <w:lang w:val="el-GR"/>
        </w:rPr>
        <w:t>Άρθρο 6(1)(γ) του Ν. 97/1970</w:t>
      </w:r>
      <w:r w:rsidR="00541D6D" w:rsidRPr="00541D6D">
        <w:rPr>
          <w:rStyle w:val="FootnoteReference"/>
          <w:rFonts w:ascii="Bookman Old Style" w:hAnsi="Bookman Old Style" w:cs="Arial"/>
          <w:sz w:val="28"/>
          <w:szCs w:val="28"/>
          <w:lang w:val="el-GR"/>
        </w:rPr>
        <w:footnoteReference w:id="1"/>
      </w:r>
      <w:r>
        <w:rPr>
          <w:rFonts w:ascii="Bookman Old Style" w:hAnsi="Bookman Old Style" w:cs="Arial"/>
          <w:sz w:val="28"/>
          <w:szCs w:val="28"/>
          <w:lang w:val="el-GR"/>
        </w:rPr>
        <w:t>, είναι ανεπαρκείς.</w:t>
      </w:r>
    </w:p>
    <w:p w14:paraId="18D86244" w14:textId="77777777" w:rsidR="001E50AA" w:rsidRDefault="001E50AA" w:rsidP="00963265">
      <w:pPr>
        <w:spacing w:line="480" w:lineRule="auto"/>
        <w:ind w:right="-35"/>
        <w:jc w:val="both"/>
        <w:rPr>
          <w:rFonts w:ascii="Bookman Old Style" w:hAnsi="Bookman Old Style" w:cs="Arial"/>
          <w:sz w:val="28"/>
          <w:szCs w:val="28"/>
          <w:lang w:val="el-GR"/>
        </w:rPr>
      </w:pPr>
    </w:p>
    <w:p w14:paraId="3AE58094" w14:textId="555EA71F" w:rsidR="001E50AA" w:rsidRDefault="001E50A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ήτοι το Ανώτατο Δικαστήριο στην άσκηση της πρωτογενούς δικαιοδοσίας του, δυνάμει του </w:t>
      </w:r>
      <w:r>
        <w:rPr>
          <w:rFonts w:ascii="Bookman Old Style" w:hAnsi="Bookman Old Style" w:cs="Arial"/>
          <w:b/>
          <w:bCs/>
          <w:i/>
          <w:iCs/>
          <w:sz w:val="28"/>
          <w:szCs w:val="28"/>
          <w:lang w:val="el-GR"/>
        </w:rPr>
        <w:t>Άρθρου 155.4 του Συντάγματος</w:t>
      </w:r>
      <w:r>
        <w:rPr>
          <w:rFonts w:ascii="Bookman Old Style" w:hAnsi="Bookman Old Style" w:cs="Arial"/>
          <w:sz w:val="28"/>
          <w:szCs w:val="28"/>
          <w:lang w:val="el-GR"/>
        </w:rPr>
        <w:t xml:space="preserve">, αφού εξέτασε τα παράπονα του Εφεσείοντα, τα έκρινε ανεδαφικά και τα απέρριψε. </w:t>
      </w:r>
    </w:p>
    <w:p w14:paraId="77D1E054" w14:textId="77777777" w:rsidR="007B56C6" w:rsidRDefault="007B56C6" w:rsidP="00963265">
      <w:pPr>
        <w:spacing w:line="480" w:lineRule="auto"/>
        <w:ind w:right="-35"/>
        <w:jc w:val="both"/>
        <w:rPr>
          <w:rFonts w:ascii="Bookman Old Style" w:hAnsi="Bookman Old Style" w:cs="Arial"/>
          <w:sz w:val="28"/>
          <w:szCs w:val="28"/>
          <w:lang w:val="el-GR"/>
        </w:rPr>
      </w:pPr>
    </w:p>
    <w:p w14:paraId="6587A686" w14:textId="4645E806" w:rsidR="007B56C6" w:rsidRDefault="007B56C6"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την παρούσα Έφεση ο Εφεσείων προσβάλλει την εγκυρότητα της πρωτόδικης Απόφασης προωθώντας, συνολικά, </w:t>
      </w:r>
      <w:r>
        <w:rPr>
          <w:rFonts w:ascii="Bookman Old Style" w:hAnsi="Bookman Old Style" w:cs="Arial"/>
          <w:b/>
          <w:bCs/>
          <w:sz w:val="28"/>
          <w:szCs w:val="28"/>
          <w:lang w:val="el-GR"/>
        </w:rPr>
        <w:t>τρεις Λόγους Έφεσης</w:t>
      </w:r>
      <w:r>
        <w:rPr>
          <w:rFonts w:ascii="Bookman Old Style" w:hAnsi="Bookman Old Style" w:cs="Arial"/>
          <w:sz w:val="28"/>
          <w:szCs w:val="28"/>
          <w:lang w:val="el-GR"/>
        </w:rPr>
        <w:t xml:space="preserve">. </w:t>
      </w:r>
    </w:p>
    <w:p w14:paraId="58D48F37" w14:textId="77777777" w:rsidR="007B56C6" w:rsidRDefault="007B56C6" w:rsidP="00963265">
      <w:pPr>
        <w:spacing w:line="480" w:lineRule="auto"/>
        <w:ind w:right="-35"/>
        <w:jc w:val="both"/>
        <w:rPr>
          <w:rFonts w:ascii="Bookman Old Style" w:hAnsi="Bookman Old Style" w:cs="Arial"/>
          <w:sz w:val="28"/>
          <w:szCs w:val="28"/>
          <w:lang w:val="el-GR"/>
        </w:rPr>
      </w:pPr>
    </w:p>
    <w:p w14:paraId="70EAC0A2" w14:textId="2AC87130" w:rsidR="007B56C6" w:rsidRDefault="007B56C6"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1</w:t>
      </w:r>
      <w:r w:rsidRPr="007B56C6">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υποστηρίζει ότι το πρωτόδικο Δικαστήριο εσφαλμένα αποδέχθηκε ότι το έντυπο που παρουσίασαν οι Εφεσίβλητοι, υπό τον τίτλο «</w:t>
      </w:r>
      <w:r w:rsidRPr="00D61FF9">
        <w:rPr>
          <w:rFonts w:ascii="Bookman Old Style" w:hAnsi="Bookman Old Style" w:cs="Arial"/>
          <w:i/>
          <w:iCs/>
          <w:sz w:val="28"/>
          <w:szCs w:val="28"/>
          <w:lang w:val="el-GR"/>
        </w:rPr>
        <w:t>Διάταγμα περί επιβολής προληπτικού μέτρου ως κράτηση</w:t>
      </w:r>
      <w:r>
        <w:rPr>
          <w:rFonts w:ascii="Bookman Old Style" w:hAnsi="Bookman Old Style" w:cs="Arial"/>
          <w:sz w:val="28"/>
          <w:szCs w:val="28"/>
          <w:lang w:val="el-GR"/>
        </w:rPr>
        <w:t xml:space="preserve">», συνιστούσε ένταλμα σύλληψης εν τη εννοία του </w:t>
      </w:r>
      <w:r>
        <w:rPr>
          <w:rFonts w:ascii="Bookman Old Style" w:hAnsi="Bookman Old Style" w:cs="Arial"/>
          <w:b/>
          <w:bCs/>
          <w:i/>
          <w:iCs/>
          <w:sz w:val="28"/>
          <w:szCs w:val="28"/>
          <w:lang w:val="el-GR"/>
        </w:rPr>
        <w:t>Ν. 95/1970</w:t>
      </w:r>
      <w:r>
        <w:rPr>
          <w:rFonts w:ascii="Bookman Old Style" w:hAnsi="Bookman Old Style" w:cs="Arial"/>
          <w:sz w:val="28"/>
          <w:szCs w:val="28"/>
          <w:lang w:val="el-GR"/>
        </w:rPr>
        <w:t xml:space="preserve">. Με το                     </w:t>
      </w:r>
      <w:r>
        <w:rPr>
          <w:rFonts w:ascii="Bookman Old Style" w:hAnsi="Bookman Old Style" w:cs="Arial"/>
          <w:b/>
          <w:bCs/>
          <w:sz w:val="28"/>
          <w:szCs w:val="28"/>
          <w:lang w:val="el-GR"/>
        </w:rPr>
        <w:t>2</w:t>
      </w:r>
      <w:r w:rsidRPr="007B56C6">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προβάλλει </w:t>
      </w:r>
      <w:r w:rsidR="00B26DF6">
        <w:rPr>
          <w:rFonts w:ascii="Bookman Old Style" w:hAnsi="Bookman Old Style" w:cs="Arial"/>
          <w:sz w:val="28"/>
          <w:szCs w:val="28"/>
          <w:lang w:val="el-GR"/>
        </w:rPr>
        <w:t>πως</w:t>
      </w:r>
      <w:r>
        <w:rPr>
          <w:rFonts w:ascii="Bookman Old Style" w:hAnsi="Bookman Old Style" w:cs="Arial"/>
          <w:sz w:val="28"/>
          <w:szCs w:val="28"/>
          <w:lang w:val="el-GR"/>
        </w:rPr>
        <w:t xml:space="preserve"> μολονότι το πρωτόδικο Δικαστήριο ορθώς έκρινε ότι οι προσκομισθείσες εγγυήσεις της Ρωσικής Ομοσπονδίας δεν μπορούσαν να γίνουν αποδεχτές, εντούτοις, αποφάσισε την απόρριψη της Αίτησης. Με τον </w:t>
      </w:r>
      <w:r>
        <w:rPr>
          <w:rFonts w:ascii="Bookman Old Style" w:hAnsi="Bookman Old Style" w:cs="Arial"/>
          <w:b/>
          <w:bCs/>
          <w:sz w:val="28"/>
          <w:szCs w:val="28"/>
          <w:lang w:val="el-GR"/>
        </w:rPr>
        <w:t>3</w:t>
      </w:r>
      <w:r w:rsidRPr="007B56C6">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ο Εφεσείων ισχυρίζεται ότι, παρά το γεγονός ότι το πρωτόδικο Δικαστήριο είχε διαπιστώσει ότι το </w:t>
      </w:r>
      <w:r w:rsidR="006526DA">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είχε εκδώσει διάταγμα έκδοσης του </w:t>
      </w:r>
      <w:r w:rsidR="006526DA">
        <w:rPr>
          <w:rFonts w:ascii="Bookman Old Style" w:hAnsi="Bookman Old Style" w:cs="Arial"/>
          <w:sz w:val="28"/>
          <w:szCs w:val="28"/>
          <w:lang w:val="el-GR"/>
        </w:rPr>
        <w:t>Ε</w:t>
      </w:r>
      <w:r>
        <w:rPr>
          <w:rFonts w:ascii="Bookman Old Style" w:hAnsi="Bookman Old Style" w:cs="Arial"/>
          <w:sz w:val="28"/>
          <w:szCs w:val="28"/>
          <w:lang w:val="el-GR"/>
        </w:rPr>
        <w:t>κζητουμένου, ενώ δεν είχε την εξουσία να το πράξει, δεν ακύρωσε την Απόφαση του</w:t>
      </w:r>
      <w:r w:rsidR="00B26DF6">
        <w:rPr>
          <w:rFonts w:ascii="Bookman Old Style" w:hAnsi="Bookman Old Style" w:cs="Arial"/>
          <w:sz w:val="28"/>
          <w:szCs w:val="28"/>
          <w:lang w:val="el-GR"/>
        </w:rPr>
        <w:t xml:space="preserve"> Κατώτερου Δικαστηρίου</w:t>
      </w:r>
      <w:r>
        <w:rPr>
          <w:rFonts w:ascii="Bookman Old Style" w:hAnsi="Bookman Old Style" w:cs="Arial"/>
          <w:sz w:val="28"/>
          <w:szCs w:val="28"/>
          <w:lang w:val="el-GR"/>
        </w:rPr>
        <w:t>, ως όφειλε, αλλά συνέχισε εξετάζοντας τους λοιπούς λόγους ακύρωσης.</w:t>
      </w:r>
    </w:p>
    <w:p w14:paraId="4AD3A605" w14:textId="77777777" w:rsidR="000D40E5" w:rsidRDefault="000D40E5" w:rsidP="00963265">
      <w:pPr>
        <w:spacing w:line="480" w:lineRule="auto"/>
        <w:ind w:right="-35"/>
        <w:jc w:val="both"/>
        <w:rPr>
          <w:rFonts w:ascii="Bookman Old Style" w:hAnsi="Bookman Old Style" w:cs="Arial"/>
          <w:sz w:val="28"/>
          <w:szCs w:val="28"/>
          <w:lang w:val="el-GR"/>
        </w:rPr>
      </w:pPr>
    </w:p>
    <w:p w14:paraId="5137164E" w14:textId="714333C5" w:rsidR="000D40E5" w:rsidRDefault="000D40E5"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είναι αντιληπτό, ο </w:t>
      </w:r>
      <w:r>
        <w:rPr>
          <w:rFonts w:ascii="Bookman Old Style" w:hAnsi="Bookman Old Style" w:cs="Arial"/>
          <w:b/>
          <w:bCs/>
          <w:sz w:val="28"/>
          <w:szCs w:val="28"/>
          <w:lang w:val="el-GR"/>
        </w:rPr>
        <w:t>1</w:t>
      </w:r>
      <w:r w:rsidRPr="000D40E5">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άπτεται των διαδικαστικών προϋποθέσεων που προνοούνται από το </w:t>
      </w:r>
      <w:r>
        <w:rPr>
          <w:rFonts w:ascii="Bookman Old Style" w:hAnsi="Bookman Old Style" w:cs="Arial"/>
          <w:b/>
          <w:bCs/>
          <w:i/>
          <w:iCs/>
          <w:sz w:val="28"/>
          <w:szCs w:val="28"/>
          <w:lang w:val="el-GR"/>
        </w:rPr>
        <w:t>Άρθρο 12(2)(α) της Σύμβασης</w:t>
      </w:r>
      <w:r w:rsidR="002B3441" w:rsidRPr="002B3441">
        <w:rPr>
          <w:rStyle w:val="FootnoteReference"/>
          <w:rFonts w:ascii="Bookman Old Style" w:hAnsi="Bookman Old Style" w:cs="Arial"/>
          <w:sz w:val="28"/>
          <w:szCs w:val="28"/>
          <w:lang w:val="el-GR"/>
        </w:rPr>
        <w:footnoteReference w:id="2"/>
      </w:r>
      <w:r w:rsidRPr="002B3441">
        <w:rPr>
          <w:rFonts w:ascii="Bookman Old Style" w:hAnsi="Bookman Old Style" w:cs="Arial"/>
          <w:sz w:val="28"/>
          <w:szCs w:val="28"/>
          <w:lang w:val="el-GR"/>
        </w:rPr>
        <w:t>,</w:t>
      </w:r>
      <w:r>
        <w:rPr>
          <w:rFonts w:ascii="Bookman Old Style" w:hAnsi="Bookman Old Style" w:cs="Arial"/>
          <w:sz w:val="28"/>
          <w:szCs w:val="28"/>
          <w:lang w:val="el-GR"/>
        </w:rPr>
        <w:t xml:space="preserve"> μη τήρηση των οποίων οδηγεί σε απόρριψη αίτησης για έκδοση εκζητουμένου προσώπου. Ήταν η θέση του ευπαίδευτου συνηγόρου του Εφεσείοντα ότι από μια επισκόπηση του επίδικου </w:t>
      </w:r>
      <w:r w:rsidR="00383618">
        <w:rPr>
          <w:rFonts w:ascii="Bookman Old Style" w:hAnsi="Bookman Old Style" w:cs="Arial"/>
          <w:sz w:val="28"/>
          <w:szCs w:val="28"/>
          <w:lang w:val="el-GR"/>
        </w:rPr>
        <w:t>«</w:t>
      </w:r>
      <w:r w:rsidR="00383618" w:rsidRPr="00BA1AEF">
        <w:rPr>
          <w:rFonts w:ascii="Bookman Old Style" w:hAnsi="Bookman Old Style" w:cs="Arial"/>
          <w:i/>
          <w:iCs/>
          <w:sz w:val="28"/>
          <w:szCs w:val="28"/>
          <w:lang w:val="el-GR"/>
        </w:rPr>
        <w:t>Δ</w:t>
      </w:r>
      <w:r w:rsidRPr="00BA1AEF">
        <w:rPr>
          <w:rFonts w:ascii="Bookman Old Style" w:hAnsi="Bookman Old Style" w:cs="Arial"/>
          <w:i/>
          <w:iCs/>
          <w:sz w:val="28"/>
          <w:szCs w:val="28"/>
          <w:lang w:val="el-GR"/>
        </w:rPr>
        <w:t xml:space="preserve">ιατάγματος περί επιβολής </w:t>
      </w:r>
      <w:r w:rsidR="00383618" w:rsidRPr="00BA1AEF">
        <w:rPr>
          <w:rFonts w:ascii="Bookman Old Style" w:hAnsi="Bookman Old Style" w:cs="Arial"/>
          <w:i/>
          <w:iCs/>
          <w:sz w:val="28"/>
          <w:szCs w:val="28"/>
          <w:lang w:val="el-GR"/>
        </w:rPr>
        <w:t>Π</w:t>
      </w:r>
      <w:r w:rsidRPr="00BA1AEF">
        <w:rPr>
          <w:rFonts w:ascii="Bookman Old Style" w:hAnsi="Bookman Old Style" w:cs="Arial"/>
          <w:i/>
          <w:iCs/>
          <w:sz w:val="28"/>
          <w:szCs w:val="28"/>
          <w:lang w:val="el-GR"/>
        </w:rPr>
        <w:t>ροληπτικού μέτρου ως κράτηση</w:t>
      </w:r>
      <w:r w:rsidR="00383618">
        <w:rPr>
          <w:rFonts w:ascii="Bookman Old Style" w:hAnsi="Bookman Old Style" w:cs="Arial"/>
          <w:sz w:val="28"/>
          <w:szCs w:val="28"/>
          <w:lang w:val="el-GR"/>
        </w:rPr>
        <w:t>»</w:t>
      </w:r>
      <w:r>
        <w:rPr>
          <w:rFonts w:ascii="Bookman Old Style" w:hAnsi="Bookman Old Style" w:cs="Arial"/>
          <w:sz w:val="28"/>
          <w:szCs w:val="28"/>
          <w:lang w:val="el-GR"/>
        </w:rPr>
        <w:t xml:space="preserve"> καθ</w:t>
      </w:r>
      <w:r w:rsidR="004868B3">
        <w:rPr>
          <w:rFonts w:ascii="Bookman Old Style" w:hAnsi="Bookman Old Style" w:cs="Arial"/>
          <w:sz w:val="28"/>
          <w:szCs w:val="28"/>
          <w:lang w:val="el-GR"/>
        </w:rPr>
        <w:t>ίσταται</w:t>
      </w:r>
      <w:r>
        <w:rPr>
          <w:rFonts w:ascii="Bookman Old Style" w:hAnsi="Bookman Old Style" w:cs="Arial"/>
          <w:sz w:val="28"/>
          <w:szCs w:val="28"/>
          <w:lang w:val="el-GR"/>
        </w:rPr>
        <w:t xml:space="preserve"> ξεκάθαρο ότι δεν εμπεριέχεται σε αυτό οιοδήποτε ένταλμα σύλληψης και ότι αυτό δεν συνιστούσε, κατ’ επέκταση, ένταλμα σύλληψης εντός της εννοίας του                    </w:t>
      </w:r>
      <w:r>
        <w:rPr>
          <w:rFonts w:ascii="Bookman Old Style" w:hAnsi="Bookman Old Style" w:cs="Arial"/>
          <w:b/>
          <w:bCs/>
          <w:i/>
          <w:iCs/>
          <w:sz w:val="28"/>
          <w:szCs w:val="28"/>
          <w:lang w:val="el-GR"/>
        </w:rPr>
        <w:t>Ν. 95/1970</w:t>
      </w:r>
      <w:r>
        <w:rPr>
          <w:rFonts w:ascii="Bookman Old Style" w:hAnsi="Bookman Old Style" w:cs="Arial"/>
          <w:sz w:val="28"/>
          <w:szCs w:val="28"/>
          <w:lang w:val="el-GR"/>
        </w:rPr>
        <w:t xml:space="preserve">. </w:t>
      </w:r>
    </w:p>
    <w:p w14:paraId="197D17B2" w14:textId="77777777" w:rsidR="00383618" w:rsidRDefault="00383618" w:rsidP="00963265">
      <w:pPr>
        <w:spacing w:line="480" w:lineRule="auto"/>
        <w:ind w:right="-35"/>
        <w:jc w:val="both"/>
        <w:rPr>
          <w:rFonts w:ascii="Bookman Old Style" w:hAnsi="Bookman Old Style" w:cs="Arial"/>
          <w:sz w:val="28"/>
          <w:szCs w:val="28"/>
          <w:lang w:val="el-GR"/>
        </w:rPr>
      </w:pPr>
    </w:p>
    <w:p w14:paraId="5B64111D" w14:textId="5ADBE992" w:rsidR="00383618" w:rsidRDefault="0038361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 πρώτοις </w:t>
      </w:r>
      <w:r w:rsidR="00783005">
        <w:rPr>
          <w:rFonts w:ascii="Bookman Old Style" w:hAnsi="Bookman Old Style" w:cs="Arial"/>
          <w:sz w:val="28"/>
          <w:szCs w:val="28"/>
          <w:lang w:val="el-GR"/>
        </w:rPr>
        <w:t>κρίνεται σκόπιμο</w:t>
      </w:r>
      <w:r>
        <w:rPr>
          <w:rFonts w:ascii="Bookman Old Style" w:hAnsi="Bookman Old Style" w:cs="Arial"/>
          <w:sz w:val="28"/>
          <w:szCs w:val="28"/>
          <w:lang w:val="el-GR"/>
        </w:rPr>
        <w:t xml:space="preserve"> να αποσαφηνισθεί ότι </w:t>
      </w:r>
      <w:r w:rsidR="00783005">
        <w:rPr>
          <w:rFonts w:ascii="Bookman Old Style" w:hAnsi="Bookman Old Style" w:cs="Arial"/>
          <w:sz w:val="28"/>
          <w:szCs w:val="28"/>
          <w:lang w:val="el-GR"/>
        </w:rPr>
        <w:t xml:space="preserve">το κατά πόσο ένα έγγραφο αποτελεί το απαιτούμενο από τη νομοθεσία ένταλμα σύλληψης, κρίνεται ανεξάρτητα από τη δομή του και τον τρόπο σύνταξης του στη χώρα που εκδόθηκε (βλ. </w:t>
      </w:r>
      <w:r w:rsidR="00783005" w:rsidRPr="00783005">
        <w:rPr>
          <w:rFonts w:ascii="Bookman Old Style" w:hAnsi="Bookman Old Style" w:cs="Arial"/>
          <w:b/>
          <w:bCs/>
          <w:i/>
          <w:iCs/>
          <w:sz w:val="28"/>
          <w:szCs w:val="28"/>
          <w:lang w:val="en-US"/>
        </w:rPr>
        <w:t>Petrov</w:t>
      </w:r>
      <w:r w:rsidR="00783005" w:rsidRPr="00783005">
        <w:rPr>
          <w:rFonts w:ascii="Bookman Old Style" w:hAnsi="Bookman Old Style" w:cs="Arial"/>
          <w:b/>
          <w:bCs/>
          <w:i/>
          <w:iCs/>
          <w:sz w:val="28"/>
          <w:szCs w:val="28"/>
          <w:lang w:val="el-GR"/>
        </w:rPr>
        <w:t xml:space="preserve"> </w:t>
      </w:r>
      <w:r w:rsidR="00783005" w:rsidRPr="00783005">
        <w:rPr>
          <w:rFonts w:ascii="Bookman Old Style" w:hAnsi="Bookman Old Style" w:cs="Arial"/>
          <w:b/>
          <w:bCs/>
          <w:i/>
          <w:iCs/>
          <w:sz w:val="28"/>
          <w:szCs w:val="28"/>
          <w:lang w:val="en-US"/>
        </w:rPr>
        <w:t>Vladimir</w:t>
      </w:r>
      <w:r w:rsidR="00783005" w:rsidRPr="00783005">
        <w:rPr>
          <w:rFonts w:ascii="Bookman Old Style" w:hAnsi="Bookman Old Style" w:cs="Arial"/>
          <w:b/>
          <w:bCs/>
          <w:i/>
          <w:iCs/>
          <w:sz w:val="28"/>
          <w:szCs w:val="28"/>
          <w:lang w:val="el-GR"/>
        </w:rPr>
        <w:t xml:space="preserve"> </w:t>
      </w:r>
      <w:r w:rsidR="00783005" w:rsidRPr="00783005">
        <w:rPr>
          <w:rFonts w:ascii="Bookman Old Style" w:hAnsi="Bookman Old Style" w:cs="Arial"/>
          <w:b/>
          <w:bCs/>
          <w:i/>
          <w:iCs/>
          <w:sz w:val="28"/>
          <w:szCs w:val="28"/>
          <w:lang w:val="en-US"/>
        </w:rPr>
        <w:t>v</w:t>
      </w:r>
      <w:r w:rsidR="00783005" w:rsidRPr="00783005">
        <w:rPr>
          <w:rFonts w:ascii="Bookman Old Style" w:hAnsi="Bookman Old Style" w:cs="Arial"/>
          <w:b/>
          <w:bCs/>
          <w:i/>
          <w:iCs/>
          <w:sz w:val="28"/>
          <w:szCs w:val="28"/>
          <w:lang w:val="el-GR"/>
        </w:rPr>
        <w:t>. Διευθυντή Κεντρικών Φυλακών (1996) 1 Α.Α.Δ 856</w:t>
      </w:r>
      <w:r w:rsidR="00783005">
        <w:rPr>
          <w:rFonts w:ascii="Bookman Old Style" w:hAnsi="Bookman Old Style" w:cs="Arial"/>
          <w:sz w:val="28"/>
          <w:szCs w:val="28"/>
          <w:lang w:val="el-GR"/>
        </w:rPr>
        <w:t>).</w:t>
      </w:r>
    </w:p>
    <w:p w14:paraId="4956F56D" w14:textId="77777777" w:rsidR="00B26DF6" w:rsidRDefault="00B26DF6" w:rsidP="00963265">
      <w:pPr>
        <w:spacing w:line="480" w:lineRule="auto"/>
        <w:ind w:right="-35"/>
        <w:jc w:val="both"/>
        <w:rPr>
          <w:rFonts w:ascii="Bookman Old Style" w:hAnsi="Bookman Old Style" w:cs="Arial"/>
          <w:sz w:val="28"/>
          <w:szCs w:val="28"/>
          <w:lang w:val="el-GR"/>
        </w:rPr>
      </w:pPr>
    </w:p>
    <w:p w14:paraId="653F887E" w14:textId="2FDD11E5" w:rsidR="000D40E5" w:rsidRDefault="00426C61" w:rsidP="00426C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Είναι </w:t>
      </w:r>
      <w:r w:rsidR="00BA1AEF">
        <w:rPr>
          <w:rFonts w:ascii="Bookman Old Style" w:hAnsi="Bookman Old Style" w:cs="Arial"/>
          <w:sz w:val="28"/>
          <w:szCs w:val="28"/>
          <w:lang w:val="el-GR"/>
        </w:rPr>
        <w:t>αναγκαίο</w:t>
      </w:r>
      <w:r>
        <w:rPr>
          <w:rFonts w:ascii="Bookman Old Style" w:hAnsi="Bookman Old Style" w:cs="Arial"/>
          <w:sz w:val="28"/>
          <w:szCs w:val="28"/>
          <w:lang w:val="el-GR"/>
        </w:rPr>
        <w:t>, για τους σκοπούς εξέτασης του εγερθέντος ζητήματος, να γίνει αναφορά στο περιεχόμενο της επίμαχης Διαταγής και στο ιστορικό το οποίο καταγράφεται σε αυτή. Ό</w:t>
      </w:r>
      <w:r w:rsidR="000D40E5">
        <w:rPr>
          <w:rFonts w:ascii="Bookman Old Style" w:hAnsi="Bookman Old Style" w:cs="Arial"/>
          <w:sz w:val="28"/>
          <w:szCs w:val="28"/>
          <w:lang w:val="el-GR"/>
        </w:rPr>
        <w:t>πως επεσήμανε και το πρωτόδικο Δικαστήριο</w:t>
      </w:r>
      <w:r>
        <w:rPr>
          <w:rFonts w:ascii="Bookman Old Style" w:hAnsi="Bookman Old Style" w:cs="Arial"/>
          <w:sz w:val="28"/>
          <w:szCs w:val="28"/>
          <w:lang w:val="el-GR"/>
        </w:rPr>
        <w:t>,</w:t>
      </w:r>
      <w:r w:rsidR="000D40E5">
        <w:rPr>
          <w:rFonts w:ascii="Bookman Old Style" w:hAnsi="Bookman Old Style" w:cs="Arial"/>
          <w:sz w:val="28"/>
          <w:szCs w:val="28"/>
          <w:lang w:val="el-GR"/>
        </w:rPr>
        <w:t xml:space="preserve"> </w:t>
      </w:r>
      <w:r>
        <w:rPr>
          <w:rFonts w:ascii="Bookman Old Style" w:hAnsi="Bookman Old Style" w:cs="Arial"/>
          <w:sz w:val="28"/>
          <w:szCs w:val="28"/>
          <w:lang w:val="el-GR"/>
        </w:rPr>
        <w:t xml:space="preserve">στην εν λόγω Διαταγή </w:t>
      </w:r>
      <w:r w:rsidR="000D40E5">
        <w:rPr>
          <w:rFonts w:ascii="Bookman Old Style" w:hAnsi="Bookman Old Style" w:cs="Arial"/>
          <w:sz w:val="28"/>
          <w:szCs w:val="28"/>
          <w:lang w:val="el-GR"/>
        </w:rPr>
        <w:t>καταγράφεται ότι:</w:t>
      </w:r>
    </w:p>
    <w:p w14:paraId="7E7528D8" w14:textId="77777777" w:rsidR="000D40E5" w:rsidRDefault="000D40E5" w:rsidP="00963265">
      <w:pPr>
        <w:spacing w:line="480" w:lineRule="auto"/>
        <w:ind w:right="-35"/>
        <w:jc w:val="both"/>
        <w:rPr>
          <w:rFonts w:ascii="Bookman Old Style" w:hAnsi="Bookman Old Style" w:cs="Arial"/>
          <w:sz w:val="28"/>
          <w:szCs w:val="28"/>
          <w:lang w:val="el-GR"/>
        </w:rPr>
      </w:pPr>
    </w:p>
    <w:p w14:paraId="5919CF36" w14:textId="75109A58" w:rsidR="000D40E5" w:rsidRDefault="000D40E5" w:rsidP="0032669E">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προανακριτική αρχή κατηγόρησε τον Εφεσείοντα και στη συνέχεια κινήθηκε ποινική υπόθεση.</w:t>
      </w:r>
    </w:p>
    <w:p w14:paraId="67694FA1" w14:textId="3702074D" w:rsidR="000D40E5" w:rsidRDefault="000D40E5" w:rsidP="0032669E">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17/2/2017 εκδόθηκε διάταγμα παραπομπής του σε δίκη και την ίδια μέρα τέθηκε ως προληπτικό δεσμευτικό μέτρο να μην αναχωρήσει από τον τόπο διαμονής του και όπως επιδεικνύει κατάλληλη συμπεριφορά.</w:t>
      </w:r>
    </w:p>
    <w:p w14:paraId="7AA7914B" w14:textId="0BDE43CD" w:rsidR="000D40E5" w:rsidRDefault="000D40E5" w:rsidP="0032669E">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Αργότερα, λόγω μη εξακρίβωσης του τόπου διαμονής του, εκδόθηκε «</w:t>
      </w:r>
      <w:r>
        <w:rPr>
          <w:rFonts w:ascii="Bookman Old Style" w:hAnsi="Bookman Old Style" w:cs="Arial"/>
          <w:i/>
          <w:iCs/>
          <w:sz w:val="28"/>
          <w:szCs w:val="28"/>
          <w:lang w:val="el-GR"/>
        </w:rPr>
        <w:t>ανακοίνωση καταζητήσεως του</w:t>
      </w:r>
      <w:r>
        <w:rPr>
          <w:rFonts w:ascii="Bookman Old Style" w:hAnsi="Bookman Old Style" w:cs="Arial"/>
          <w:sz w:val="28"/>
          <w:szCs w:val="28"/>
          <w:lang w:val="el-GR"/>
        </w:rPr>
        <w:t>».</w:t>
      </w:r>
    </w:p>
    <w:p w14:paraId="553C8EA2" w14:textId="71FAA43A" w:rsidR="000D40E5" w:rsidRDefault="000D40E5" w:rsidP="0032669E">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2/7/2021 τέθηκε στο διεθνή κατάλογο καταζητουμένων της </w:t>
      </w:r>
      <w:r>
        <w:rPr>
          <w:rFonts w:ascii="Bookman Old Style" w:hAnsi="Bookman Old Style" w:cs="Arial"/>
          <w:sz w:val="28"/>
          <w:szCs w:val="28"/>
          <w:lang w:val="en-US"/>
        </w:rPr>
        <w:t>Interpol</w:t>
      </w:r>
      <w:r>
        <w:rPr>
          <w:rFonts w:ascii="Bookman Old Style" w:hAnsi="Bookman Old Style" w:cs="Arial"/>
          <w:sz w:val="28"/>
          <w:szCs w:val="28"/>
          <w:lang w:val="el-GR"/>
        </w:rPr>
        <w:t>.</w:t>
      </w:r>
    </w:p>
    <w:p w14:paraId="0F681CD1" w14:textId="341F0873" w:rsidR="000D40E5" w:rsidRDefault="00BA1AEF" w:rsidP="0032669E">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Στο μεταξύ ο ανακριτής της υπόθεσης ζήτησε από το Δικαστήριο την κράτηση του Εφεσείοντα.</w:t>
      </w:r>
      <w:r w:rsidR="00541BD5">
        <w:rPr>
          <w:rFonts w:ascii="Bookman Old Style" w:hAnsi="Bookman Old Style" w:cs="Arial"/>
          <w:sz w:val="28"/>
          <w:szCs w:val="28"/>
          <w:lang w:val="el-GR"/>
        </w:rPr>
        <w:t xml:space="preserve"> </w:t>
      </w:r>
      <w:r w:rsidR="000D40E5">
        <w:rPr>
          <w:rFonts w:ascii="Bookman Old Style" w:hAnsi="Bookman Old Style" w:cs="Arial"/>
          <w:sz w:val="28"/>
          <w:szCs w:val="28"/>
          <w:lang w:val="el-GR"/>
        </w:rPr>
        <w:t>Το Δικαστήριο λαμβάνοντας υπόψη ότι ο Εφεσείων εγκατέλειψε το έδαφος της Ρωσικής Ομοσπονδίας έχοντας επίγνωση της ποινικής υπόθεσης για μεγάλο χρονικό διάστημα και ότι δεν έχει σταθερούς δεσμούς με τη Ρωσία, κατέληξε ότι «</w:t>
      </w:r>
      <w:r w:rsidR="000D40E5">
        <w:rPr>
          <w:rFonts w:ascii="Bookman Old Style" w:hAnsi="Bookman Old Style" w:cs="Arial"/>
          <w:i/>
          <w:iCs/>
          <w:sz w:val="28"/>
          <w:szCs w:val="28"/>
          <w:lang w:val="el-GR"/>
        </w:rPr>
        <w:t>ένα λιγότερο περιοριστικό μέτρο από την προφυλάκιση δεν μπορούσε να επιλεγεί</w:t>
      </w:r>
      <w:r w:rsidR="000D40E5">
        <w:rPr>
          <w:rFonts w:ascii="Bookman Old Style" w:hAnsi="Bookman Old Style" w:cs="Arial"/>
          <w:sz w:val="28"/>
          <w:szCs w:val="28"/>
          <w:lang w:val="el-GR"/>
        </w:rPr>
        <w:t xml:space="preserve">». </w:t>
      </w:r>
    </w:p>
    <w:p w14:paraId="2D0CE74D" w14:textId="052EDF40" w:rsidR="000D40E5" w:rsidRDefault="000D40E5" w:rsidP="0032669E">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βάση το πιο πάνω σκεπτικό</w:t>
      </w:r>
      <w:r w:rsidR="00BA1AEF">
        <w:rPr>
          <w:rFonts w:ascii="Bookman Old Style" w:hAnsi="Bookman Old Style" w:cs="Arial"/>
          <w:sz w:val="28"/>
          <w:szCs w:val="28"/>
          <w:lang w:val="el-GR"/>
        </w:rPr>
        <w:t>,</w:t>
      </w:r>
      <w:r>
        <w:rPr>
          <w:rFonts w:ascii="Bookman Old Style" w:hAnsi="Bookman Old Style" w:cs="Arial"/>
          <w:sz w:val="28"/>
          <w:szCs w:val="28"/>
          <w:lang w:val="el-GR"/>
        </w:rPr>
        <w:t xml:space="preserve"> το Δικαστήριο μετέτρεψε τον όρο για κατ’ οίκον περιορισμό </w:t>
      </w:r>
      <w:r w:rsidR="00426C61">
        <w:rPr>
          <w:rFonts w:ascii="Bookman Old Style" w:hAnsi="Bookman Old Style" w:cs="Arial"/>
          <w:sz w:val="28"/>
          <w:szCs w:val="28"/>
          <w:lang w:val="el-GR"/>
        </w:rPr>
        <w:t>και</w:t>
      </w:r>
      <w:r>
        <w:rPr>
          <w:rFonts w:ascii="Bookman Old Style" w:hAnsi="Bookman Old Style" w:cs="Arial"/>
          <w:sz w:val="28"/>
          <w:szCs w:val="28"/>
          <w:lang w:val="el-GR"/>
        </w:rPr>
        <w:t xml:space="preserve"> κατάλληλη συμπεριφορά σε «</w:t>
      </w:r>
      <w:r>
        <w:rPr>
          <w:rFonts w:ascii="Bookman Old Style" w:hAnsi="Bookman Old Style" w:cs="Arial"/>
          <w:i/>
          <w:iCs/>
          <w:sz w:val="28"/>
          <w:szCs w:val="28"/>
          <w:lang w:val="el-GR"/>
        </w:rPr>
        <w:t>κράτηση για χρονικό διάστημα δύο μηνών από τη στιγμή της κράτησης του στο έδαφος της Ρωσικής Ομοσπονδίας, ή από τη στιγμή της μεταφοράς του στις υπηρεσίες ασφαλείας της Ρωσικής Ομοσπονδίας σε περίπτωση έκδοσης του ή απέλασης του στο έδαφος της Ρωσικής Ομοσπονδίας</w:t>
      </w:r>
      <w:r>
        <w:rPr>
          <w:rFonts w:ascii="Bookman Old Style" w:hAnsi="Bookman Old Style" w:cs="Arial"/>
          <w:sz w:val="28"/>
          <w:szCs w:val="28"/>
          <w:lang w:val="el-GR"/>
        </w:rPr>
        <w:t>».</w:t>
      </w:r>
    </w:p>
    <w:p w14:paraId="5F466496" w14:textId="77777777" w:rsidR="004868B3" w:rsidRDefault="004868B3" w:rsidP="004868B3">
      <w:pPr>
        <w:pStyle w:val="ListParagraph"/>
        <w:spacing w:line="360" w:lineRule="auto"/>
        <w:ind w:right="-35"/>
        <w:jc w:val="both"/>
        <w:rPr>
          <w:rFonts w:ascii="Bookman Old Style" w:hAnsi="Bookman Old Style" w:cs="Arial"/>
          <w:sz w:val="28"/>
          <w:szCs w:val="28"/>
          <w:lang w:val="el-GR"/>
        </w:rPr>
      </w:pPr>
    </w:p>
    <w:p w14:paraId="1567BF66" w14:textId="6FF94768" w:rsidR="00426C61" w:rsidRDefault="0032669E"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Υπό το φως όλων των πιο πάνω, </w:t>
      </w:r>
      <w:r w:rsidR="004D2411">
        <w:rPr>
          <w:rFonts w:ascii="Bookman Old Style" w:hAnsi="Bookman Old Style" w:cs="Arial"/>
          <w:sz w:val="28"/>
          <w:szCs w:val="28"/>
          <w:lang w:val="el-GR"/>
        </w:rPr>
        <w:t>ήτο προφανές, ως και η σχετική</w:t>
      </w:r>
      <w:r w:rsidR="00426C61">
        <w:rPr>
          <w:rFonts w:ascii="Bookman Old Style" w:hAnsi="Bookman Old Style" w:cs="Arial"/>
          <w:sz w:val="28"/>
          <w:szCs w:val="28"/>
          <w:lang w:val="el-GR"/>
        </w:rPr>
        <w:t xml:space="preserve"> διαπίστωση του πρωτόδικου Δικαστηρίου</w:t>
      </w:r>
      <w:r w:rsidR="004D2411">
        <w:rPr>
          <w:rFonts w:ascii="Bookman Old Style" w:hAnsi="Bookman Old Style" w:cs="Arial"/>
          <w:sz w:val="28"/>
          <w:szCs w:val="28"/>
          <w:lang w:val="el-GR"/>
        </w:rPr>
        <w:t>,</w:t>
      </w:r>
      <w:r w:rsidR="00426C61">
        <w:rPr>
          <w:rFonts w:ascii="Bookman Old Style" w:hAnsi="Bookman Old Style" w:cs="Arial"/>
          <w:sz w:val="28"/>
          <w:szCs w:val="28"/>
          <w:lang w:val="el-GR"/>
        </w:rPr>
        <w:t xml:space="preserve"> ότι η Διαταγή για κράτηση του Εφεσείοντα δεν είχε γίνει για άλλο σκοπό παρά για τους σκοπούς της </w:t>
      </w:r>
      <w:r>
        <w:rPr>
          <w:rFonts w:ascii="Bookman Old Style" w:hAnsi="Bookman Old Style" w:cs="Arial"/>
          <w:sz w:val="28"/>
          <w:szCs w:val="28"/>
          <w:lang w:val="el-GR"/>
        </w:rPr>
        <w:t>εκκρεμούσας</w:t>
      </w:r>
      <w:r w:rsidR="00426C61">
        <w:rPr>
          <w:rFonts w:ascii="Bookman Old Style" w:hAnsi="Bookman Old Style" w:cs="Arial"/>
          <w:sz w:val="28"/>
          <w:szCs w:val="28"/>
          <w:lang w:val="el-GR"/>
        </w:rPr>
        <w:t xml:space="preserve"> ποινικής δίκης στην οποία είναι κατηγορούμενος</w:t>
      </w:r>
      <w:r w:rsidR="00D61FF9" w:rsidRPr="00D61FF9">
        <w:rPr>
          <w:rFonts w:ascii="Bookman Old Style" w:hAnsi="Bookman Old Style" w:cs="Arial"/>
          <w:sz w:val="28"/>
          <w:szCs w:val="28"/>
          <w:lang w:val="el-GR"/>
        </w:rPr>
        <w:t>.</w:t>
      </w:r>
      <w:r w:rsidR="00D61FF9">
        <w:rPr>
          <w:rFonts w:ascii="Bookman Old Style" w:hAnsi="Bookman Old Style" w:cs="Arial"/>
          <w:sz w:val="28"/>
          <w:szCs w:val="28"/>
          <w:lang w:val="el-GR"/>
        </w:rPr>
        <w:t xml:space="preserve"> Ταυτόχρονα</w:t>
      </w:r>
      <w:r w:rsidR="004D2411">
        <w:rPr>
          <w:rFonts w:ascii="Bookman Old Style" w:hAnsi="Bookman Old Style" w:cs="Arial"/>
          <w:sz w:val="28"/>
          <w:szCs w:val="28"/>
          <w:lang w:val="el-GR"/>
        </w:rPr>
        <w:t>,</w:t>
      </w:r>
      <w:r w:rsidR="00D61FF9">
        <w:rPr>
          <w:rFonts w:ascii="Bookman Old Style" w:hAnsi="Bookman Old Style" w:cs="Arial"/>
          <w:sz w:val="28"/>
          <w:szCs w:val="28"/>
          <w:lang w:val="el-GR"/>
        </w:rPr>
        <w:t xml:space="preserve"> ορθή ήταν και η επισήμανση, στο πλαίσιο που εξετάζουμε, ότι μια κράτηση, όπως στην προκείμενη περίπτωση, </w:t>
      </w:r>
      <w:r w:rsidR="00426C61">
        <w:rPr>
          <w:rFonts w:ascii="Bookman Old Style" w:hAnsi="Bookman Old Style" w:cs="Arial"/>
          <w:sz w:val="28"/>
          <w:szCs w:val="28"/>
          <w:lang w:val="el-GR"/>
        </w:rPr>
        <w:t>προϋποθέτει</w:t>
      </w:r>
      <w:r w:rsidR="00240315">
        <w:rPr>
          <w:rFonts w:ascii="Bookman Old Style" w:hAnsi="Bookman Old Style" w:cs="Arial"/>
          <w:sz w:val="28"/>
          <w:szCs w:val="28"/>
          <w:lang w:val="el-GR"/>
        </w:rPr>
        <w:t xml:space="preserve"> </w:t>
      </w:r>
      <w:r w:rsidR="00426C61">
        <w:rPr>
          <w:rFonts w:ascii="Bookman Old Style" w:hAnsi="Bookman Old Style" w:cs="Arial"/>
          <w:sz w:val="28"/>
          <w:szCs w:val="28"/>
          <w:lang w:val="el-GR"/>
        </w:rPr>
        <w:t>κατ’ ανάγκη</w:t>
      </w:r>
      <w:r w:rsidR="00E04898">
        <w:rPr>
          <w:rFonts w:ascii="Bookman Old Style" w:hAnsi="Bookman Old Style" w:cs="Arial"/>
          <w:sz w:val="28"/>
          <w:szCs w:val="28"/>
          <w:lang w:val="el-GR"/>
        </w:rPr>
        <w:t>ν</w:t>
      </w:r>
      <w:r w:rsidR="00240315">
        <w:rPr>
          <w:rFonts w:ascii="Bookman Old Style" w:hAnsi="Bookman Old Style" w:cs="Arial"/>
          <w:sz w:val="28"/>
          <w:szCs w:val="28"/>
          <w:lang w:val="el-GR"/>
        </w:rPr>
        <w:t xml:space="preserve">, κατά κοινή ερμηνεία, </w:t>
      </w:r>
      <w:r w:rsidR="00426C61">
        <w:rPr>
          <w:rFonts w:ascii="Bookman Old Style" w:hAnsi="Bookman Old Style" w:cs="Arial"/>
          <w:sz w:val="28"/>
          <w:szCs w:val="28"/>
          <w:lang w:val="el-GR"/>
        </w:rPr>
        <w:t>προηγούμενη σύλληψη</w:t>
      </w:r>
      <w:r w:rsidR="00240315">
        <w:rPr>
          <w:rFonts w:ascii="Bookman Old Style" w:hAnsi="Bookman Old Style" w:cs="Arial"/>
          <w:sz w:val="28"/>
          <w:szCs w:val="28"/>
          <w:lang w:val="el-GR"/>
        </w:rPr>
        <w:t>, και τούτο για να καταστεί εφικτή η εκτέλεση της διαταγής κράτησης</w:t>
      </w:r>
      <w:r w:rsidR="00426C61">
        <w:rPr>
          <w:rFonts w:ascii="Bookman Old Style" w:hAnsi="Bookman Old Style" w:cs="Arial"/>
          <w:sz w:val="28"/>
          <w:szCs w:val="28"/>
          <w:lang w:val="el-GR"/>
        </w:rPr>
        <w:t>.</w:t>
      </w:r>
    </w:p>
    <w:p w14:paraId="71CBB159" w14:textId="77777777" w:rsidR="00D61FF9" w:rsidRDefault="00D61FF9" w:rsidP="00963265">
      <w:pPr>
        <w:spacing w:line="480" w:lineRule="auto"/>
        <w:ind w:right="-35"/>
        <w:jc w:val="both"/>
        <w:rPr>
          <w:rFonts w:ascii="Bookman Old Style" w:hAnsi="Bookman Old Style" w:cs="Arial"/>
          <w:sz w:val="28"/>
          <w:szCs w:val="28"/>
          <w:lang w:val="el-GR"/>
        </w:rPr>
      </w:pPr>
    </w:p>
    <w:p w14:paraId="10611605" w14:textId="0B2CF4B3" w:rsidR="00426C61" w:rsidRPr="00491D1D" w:rsidRDefault="00426C61" w:rsidP="002B3441">
      <w:pPr>
        <w:spacing w:line="480" w:lineRule="auto"/>
        <w:ind w:right="-35"/>
        <w:jc w:val="both"/>
        <w:rPr>
          <w:rFonts w:ascii="Bookman Old Style" w:hAnsi="Bookman Old Style" w:cs="Arial"/>
          <w:sz w:val="28"/>
          <w:szCs w:val="28"/>
          <w:lang w:val="en-US"/>
        </w:rPr>
      </w:pPr>
      <w:r>
        <w:rPr>
          <w:rFonts w:ascii="Bookman Old Style" w:hAnsi="Bookman Old Style" w:cs="Arial"/>
          <w:sz w:val="28"/>
          <w:szCs w:val="28"/>
          <w:lang w:val="el-GR"/>
        </w:rPr>
        <w:t xml:space="preserve">Πέραν δε των πιο πάνω, σημαντική </w:t>
      </w:r>
      <w:r w:rsidR="00E04898">
        <w:rPr>
          <w:rFonts w:ascii="Bookman Old Style" w:hAnsi="Bookman Old Style" w:cs="Arial"/>
          <w:sz w:val="28"/>
          <w:szCs w:val="28"/>
          <w:lang w:val="el-GR"/>
        </w:rPr>
        <w:t>ήτο</w:t>
      </w:r>
      <w:r>
        <w:rPr>
          <w:rFonts w:ascii="Bookman Old Style" w:hAnsi="Bookman Old Style" w:cs="Arial"/>
          <w:sz w:val="28"/>
          <w:szCs w:val="28"/>
          <w:lang w:val="el-GR"/>
        </w:rPr>
        <w:t xml:space="preserve"> και η διαβεβαίωση από πλευράς των </w:t>
      </w:r>
      <w:r w:rsidR="0032669E">
        <w:rPr>
          <w:rFonts w:ascii="Bookman Old Style" w:hAnsi="Bookman Old Style" w:cs="Arial"/>
          <w:sz w:val="28"/>
          <w:szCs w:val="28"/>
          <w:lang w:val="el-GR"/>
        </w:rPr>
        <w:t>Ρ</w:t>
      </w:r>
      <w:r>
        <w:rPr>
          <w:rFonts w:ascii="Bookman Old Style" w:hAnsi="Bookman Old Style" w:cs="Arial"/>
          <w:sz w:val="28"/>
          <w:szCs w:val="28"/>
          <w:lang w:val="el-GR"/>
        </w:rPr>
        <w:t xml:space="preserve">ωσικών </w:t>
      </w:r>
      <w:r w:rsidR="0032669E">
        <w:rPr>
          <w:rFonts w:ascii="Bookman Old Style" w:hAnsi="Bookman Old Style" w:cs="Arial"/>
          <w:sz w:val="28"/>
          <w:szCs w:val="28"/>
          <w:lang w:val="el-GR"/>
        </w:rPr>
        <w:t>Α</w:t>
      </w:r>
      <w:r>
        <w:rPr>
          <w:rFonts w:ascii="Bookman Old Style" w:hAnsi="Bookman Old Style" w:cs="Arial"/>
          <w:sz w:val="28"/>
          <w:szCs w:val="28"/>
          <w:lang w:val="el-GR"/>
        </w:rPr>
        <w:t xml:space="preserve">ρχών στο </w:t>
      </w:r>
      <w:r w:rsidRPr="0032669E">
        <w:rPr>
          <w:rFonts w:ascii="Bookman Old Style" w:hAnsi="Bookman Old Style" w:cs="Arial"/>
          <w:b/>
          <w:bCs/>
          <w:sz w:val="28"/>
          <w:szCs w:val="28"/>
          <w:lang w:val="el-GR"/>
        </w:rPr>
        <w:t>Τεκμήριο 1</w:t>
      </w:r>
      <w:r w:rsidR="004868B3">
        <w:rPr>
          <w:rFonts w:ascii="Bookman Old Style" w:hAnsi="Bookman Old Style" w:cs="Arial"/>
          <w:b/>
          <w:bCs/>
          <w:sz w:val="28"/>
          <w:szCs w:val="28"/>
          <w:lang w:val="el-GR"/>
        </w:rPr>
        <w:t>(</w:t>
      </w:r>
      <w:r w:rsidRPr="0032669E">
        <w:rPr>
          <w:rFonts w:ascii="Bookman Old Style" w:hAnsi="Bookman Old Style" w:cs="Arial"/>
          <w:b/>
          <w:bCs/>
          <w:sz w:val="28"/>
          <w:szCs w:val="28"/>
          <w:lang w:val="el-GR"/>
        </w:rPr>
        <w:t>β</w:t>
      </w:r>
      <w:r w:rsidR="004868B3">
        <w:rPr>
          <w:rFonts w:ascii="Bookman Old Style" w:hAnsi="Bookman Old Style" w:cs="Arial"/>
          <w:b/>
          <w:bCs/>
          <w:sz w:val="28"/>
          <w:szCs w:val="28"/>
          <w:lang w:val="el-GR"/>
        </w:rPr>
        <w:t>)</w:t>
      </w:r>
      <w:r>
        <w:rPr>
          <w:rFonts w:ascii="Bookman Old Style" w:hAnsi="Bookman Old Style" w:cs="Arial"/>
          <w:sz w:val="28"/>
          <w:szCs w:val="28"/>
          <w:lang w:val="el-GR"/>
        </w:rPr>
        <w:t xml:space="preserve"> που συνοδεύει την Ένορκη Δήλωση στην Ένσταση των Καθ’</w:t>
      </w:r>
      <w:r w:rsidR="00E04898">
        <w:rPr>
          <w:rFonts w:ascii="Bookman Old Style" w:hAnsi="Bookman Old Style" w:cs="Arial"/>
          <w:sz w:val="28"/>
          <w:szCs w:val="28"/>
          <w:lang w:val="el-GR"/>
        </w:rPr>
        <w:t xml:space="preserve"> </w:t>
      </w:r>
      <w:r>
        <w:rPr>
          <w:rFonts w:ascii="Bookman Old Style" w:hAnsi="Bookman Old Style" w:cs="Arial"/>
          <w:sz w:val="28"/>
          <w:szCs w:val="28"/>
          <w:lang w:val="el-GR"/>
        </w:rPr>
        <w:t>ων η Αίτηση</w:t>
      </w:r>
      <w:r w:rsidR="00020DDA">
        <w:rPr>
          <w:rFonts w:ascii="Bookman Old Style" w:hAnsi="Bookman Old Style" w:cs="Arial"/>
          <w:sz w:val="28"/>
          <w:szCs w:val="28"/>
          <w:lang w:val="el-GR"/>
        </w:rPr>
        <w:t xml:space="preserve"> («</w:t>
      </w:r>
      <w:r w:rsidR="00020DDA" w:rsidRPr="0032669E">
        <w:rPr>
          <w:rFonts w:ascii="Bookman Old Style" w:hAnsi="Bookman Old Style" w:cs="Arial"/>
          <w:i/>
          <w:iCs/>
          <w:sz w:val="28"/>
          <w:szCs w:val="28"/>
          <w:lang w:val="en-US"/>
        </w:rPr>
        <w:t>Certificate</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on</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the</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request</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of</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the</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Cypriot</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side</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in</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respect</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of</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B</w:t>
      </w:r>
      <w:r w:rsidR="00020DDA" w:rsidRPr="0032669E">
        <w:rPr>
          <w:rFonts w:ascii="Bookman Old Style" w:hAnsi="Bookman Old Style" w:cs="Arial"/>
          <w:i/>
          <w:iCs/>
          <w:sz w:val="28"/>
          <w:szCs w:val="28"/>
          <w:lang w:val="el-GR"/>
        </w:rPr>
        <w:t>.</w:t>
      </w:r>
      <w:r w:rsidR="00020DDA" w:rsidRPr="0032669E">
        <w:rPr>
          <w:rFonts w:ascii="Bookman Old Style" w:hAnsi="Bookman Old Style" w:cs="Arial"/>
          <w:i/>
          <w:iCs/>
          <w:sz w:val="28"/>
          <w:szCs w:val="28"/>
          <w:lang w:val="en-US"/>
        </w:rPr>
        <w:t>Yu</w:t>
      </w:r>
      <w:r w:rsidR="00020DDA" w:rsidRPr="0032669E">
        <w:rPr>
          <w:rFonts w:ascii="Bookman Old Style" w:hAnsi="Bookman Old Style" w:cs="Arial"/>
          <w:i/>
          <w:iCs/>
          <w:sz w:val="28"/>
          <w:szCs w:val="28"/>
          <w:lang w:val="el-GR"/>
        </w:rPr>
        <w:t xml:space="preserve">. </w:t>
      </w:r>
      <w:r w:rsidR="00020DDA" w:rsidRPr="0032669E">
        <w:rPr>
          <w:rFonts w:ascii="Bookman Old Style" w:hAnsi="Bookman Old Style" w:cs="Arial"/>
          <w:i/>
          <w:iCs/>
          <w:sz w:val="28"/>
          <w:szCs w:val="28"/>
          <w:lang w:val="en-US"/>
        </w:rPr>
        <w:t>Sosin</w:t>
      </w:r>
      <w:r w:rsidR="00020DDA">
        <w:rPr>
          <w:rFonts w:ascii="Bookman Old Style" w:hAnsi="Bookman Old Style" w:cs="Arial"/>
          <w:sz w:val="28"/>
          <w:szCs w:val="28"/>
          <w:lang w:val="el-GR"/>
        </w:rPr>
        <w:t>»)</w:t>
      </w:r>
      <w:r>
        <w:rPr>
          <w:rFonts w:ascii="Bookman Old Style" w:hAnsi="Bookman Old Style" w:cs="Arial"/>
          <w:sz w:val="28"/>
          <w:szCs w:val="28"/>
          <w:lang w:val="el-GR"/>
        </w:rPr>
        <w:t xml:space="preserve">, συμφώνως της οποίας το ως άνω έγγραφο </w:t>
      </w:r>
      <w:r w:rsidR="00E04898">
        <w:rPr>
          <w:rFonts w:ascii="Bookman Old Style" w:hAnsi="Bookman Old Style" w:cs="Arial"/>
          <w:sz w:val="28"/>
          <w:szCs w:val="28"/>
          <w:lang w:val="el-GR"/>
        </w:rPr>
        <w:t xml:space="preserve">συνιστούσε ένταλμα </w:t>
      </w:r>
      <w:r w:rsidR="004868B3">
        <w:rPr>
          <w:rFonts w:ascii="Bookman Old Style" w:hAnsi="Bookman Old Style" w:cs="Arial"/>
          <w:sz w:val="28"/>
          <w:szCs w:val="28"/>
          <w:lang w:val="el-GR"/>
        </w:rPr>
        <w:t>σύλληψης</w:t>
      </w:r>
      <w:r w:rsidR="00E04898">
        <w:rPr>
          <w:rFonts w:ascii="Bookman Old Style" w:hAnsi="Bookman Old Style" w:cs="Arial"/>
          <w:sz w:val="28"/>
          <w:szCs w:val="28"/>
          <w:lang w:val="el-GR"/>
        </w:rPr>
        <w:t xml:space="preserve"> για τον Εφεσείοντα το οποίο ενέπιπτε</w:t>
      </w:r>
      <w:r>
        <w:rPr>
          <w:rFonts w:ascii="Bookman Old Style" w:hAnsi="Bookman Old Style" w:cs="Arial"/>
          <w:sz w:val="28"/>
          <w:szCs w:val="28"/>
          <w:lang w:val="el-GR"/>
        </w:rPr>
        <w:t xml:space="preserve"> στην έννοια του </w:t>
      </w:r>
      <w:r>
        <w:rPr>
          <w:rFonts w:ascii="Bookman Old Style" w:hAnsi="Bookman Old Style" w:cs="Arial"/>
          <w:b/>
          <w:bCs/>
          <w:i/>
          <w:iCs/>
          <w:sz w:val="28"/>
          <w:szCs w:val="28"/>
          <w:lang w:val="el-GR"/>
        </w:rPr>
        <w:t>Άρθρου 12 του Ν. 95/1970</w:t>
      </w:r>
      <w:r>
        <w:rPr>
          <w:rFonts w:ascii="Bookman Old Style" w:hAnsi="Bookman Old Style" w:cs="Arial"/>
          <w:sz w:val="28"/>
          <w:szCs w:val="28"/>
          <w:lang w:val="el-GR"/>
        </w:rPr>
        <w:t>.</w:t>
      </w:r>
      <w:r w:rsidR="00020DDA">
        <w:rPr>
          <w:rFonts w:ascii="Bookman Old Style" w:hAnsi="Bookman Old Style" w:cs="Arial"/>
          <w:sz w:val="28"/>
          <w:szCs w:val="28"/>
          <w:lang w:val="el-GR"/>
        </w:rPr>
        <w:t xml:space="preserve"> Συγκεκριμένα</w:t>
      </w:r>
      <w:r w:rsidR="00020DDA" w:rsidRPr="00491D1D">
        <w:rPr>
          <w:rFonts w:ascii="Bookman Old Style" w:hAnsi="Bookman Old Style" w:cs="Arial"/>
          <w:sz w:val="28"/>
          <w:szCs w:val="28"/>
          <w:lang w:val="en-US"/>
        </w:rPr>
        <w:t xml:space="preserve">, </w:t>
      </w:r>
      <w:r w:rsidR="00020DDA">
        <w:rPr>
          <w:rFonts w:ascii="Bookman Old Style" w:hAnsi="Bookman Old Style" w:cs="Arial"/>
          <w:sz w:val="28"/>
          <w:szCs w:val="28"/>
          <w:lang w:val="el-GR"/>
        </w:rPr>
        <w:t>στην</w:t>
      </w:r>
      <w:r w:rsidR="00020DDA" w:rsidRPr="00491D1D">
        <w:rPr>
          <w:rFonts w:ascii="Bookman Old Style" w:hAnsi="Bookman Old Style" w:cs="Arial"/>
          <w:sz w:val="28"/>
          <w:szCs w:val="28"/>
          <w:lang w:val="en-US"/>
        </w:rPr>
        <w:t xml:space="preserve"> </w:t>
      </w:r>
      <w:r w:rsidR="00020DDA" w:rsidRPr="0032669E">
        <w:rPr>
          <w:rFonts w:ascii="Bookman Old Style" w:hAnsi="Bookman Old Style" w:cs="Arial"/>
          <w:b/>
          <w:bCs/>
          <w:sz w:val="28"/>
          <w:szCs w:val="28"/>
          <w:lang w:val="el-GR"/>
        </w:rPr>
        <w:t>παράγραφο</w:t>
      </w:r>
      <w:r w:rsidR="00020DDA" w:rsidRPr="00491D1D">
        <w:rPr>
          <w:rFonts w:ascii="Bookman Old Style" w:hAnsi="Bookman Old Style" w:cs="Arial"/>
          <w:b/>
          <w:bCs/>
          <w:sz w:val="28"/>
          <w:szCs w:val="28"/>
          <w:lang w:val="en-US"/>
        </w:rPr>
        <w:t xml:space="preserve"> (</w:t>
      </w:r>
      <w:r w:rsidR="00020DDA" w:rsidRPr="0032669E">
        <w:rPr>
          <w:rFonts w:ascii="Bookman Old Style" w:hAnsi="Bookman Old Style" w:cs="Arial"/>
          <w:b/>
          <w:bCs/>
          <w:sz w:val="28"/>
          <w:szCs w:val="28"/>
          <w:lang w:val="en-US"/>
        </w:rPr>
        <w:t>c</w:t>
      </w:r>
      <w:r w:rsidR="00020DDA" w:rsidRPr="00491D1D">
        <w:rPr>
          <w:rFonts w:ascii="Bookman Old Style" w:hAnsi="Bookman Old Style" w:cs="Arial"/>
          <w:b/>
          <w:bCs/>
          <w:sz w:val="28"/>
          <w:szCs w:val="28"/>
          <w:lang w:val="en-US"/>
        </w:rPr>
        <w:t>)</w:t>
      </w:r>
      <w:r w:rsidR="00020DDA" w:rsidRPr="00491D1D">
        <w:rPr>
          <w:rFonts w:ascii="Bookman Old Style" w:hAnsi="Bookman Old Style" w:cs="Arial"/>
          <w:sz w:val="28"/>
          <w:szCs w:val="28"/>
          <w:lang w:val="en-US"/>
        </w:rPr>
        <w:t xml:space="preserve"> </w:t>
      </w:r>
      <w:r w:rsidR="00020DDA">
        <w:rPr>
          <w:rFonts w:ascii="Bookman Old Style" w:hAnsi="Bookman Old Style" w:cs="Arial"/>
          <w:sz w:val="28"/>
          <w:szCs w:val="28"/>
          <w:lang w:val="el-GR"/>
        </w:rPr>
        <w:t>του</w:t>
      </w:r>
      <w:r w:rsidR="00020DDA" w:rsidRPr="00491D1D">
        <w:rPr>
          <w:rFonts w:ascii="Bookman Old Style" w:hAnsi="Bookman Old Style" w:cs="Arial"/>
          <w:sz w:val="28"/>
          <w:szCs w:val="28"/>
          <w:lang w:val="en-US"/>
        </w:rPr>
        <w:t xml:space="preserve"> </w:t>
      </w:r>
      <w:r w:rsidR="00020DDA" w:rsidRPr="0032669E">
        <w:rPr>
          <w:rFonts w:ascii="Bookman Old Style" w:hAnsi="Bookman Old Style" w:cs="Arial"/>
          <w:b/>
          <w:bCs/>
          <w:sz w:val="28"/>
          <w:szCs w:val="28"/>
          <w:lang w:val="el-GR"/>
        </w:rPr>
        <w:t>Τεκμηρίου</w:t>
      </w:r>
      <w:r w:rsidR="00020DDA" w:rsidRPr="00491D1D">
        <w:rPr>
          <w:rFonts w:ascii="Bookman Old Style" w:hAnsi="Bookman Old Style" w:cs="Arial"/>
          <w:b/>
          <w:bCs/>
          <w:sz w:val="28"/>
          <w:szCs w:val="28"/>
          <w:lang w:val="en-US"/>
        </w:rPr>
        <w:t xml:space="preserve"> 1</w:t>
      </w:r>
      <w:r w:rsidR="004868B3" w:rsidRPr="00491D1D">
        <w:rPr>
          <w:rFonts w:ascii="Bookman Old Style" w:hAnsi="Bookman Old Style" w:cs="Arial"/>
          <w:b/>
          <w:bCs/>
          <w:sz w:val="28"/>
          <w:szCs w:val="28"/>
          <w:lang w:val="en-US"/>
        </w:rPr>
        <w:t>(</w:t>
      </w:r>
      <w:r w:rsidR="00020DDA" w:rsidRPr="0032669E">
        <w:rPr>
          <w:rFonts w:ascii="Bookman Old Style" w:hAnsi="Bookman Old Style" w:cs="Arial"/>
          <w:b/>
          <w:bCs/>
          <w:sz w:val="28"/>
          <w:szCs w:val="28"/>
          <w:lang w:val="el-GR"/>
        </w:rPr>
        <w:t>β</w:t>
      </w:r>
      <w:r w:rsidR="004868B3" w:rsidRPr="00491D1D">
        <w:rPr>
          <w:rFonts w:ascii="Bookman Old Style" w:hAnsi="Bookman Old Style" w:cs="Arial"/>
          <w:b/>
          <w:bCs/>
          <w:sz w:val="28"/>
          <w:szCs w:val="28"/>
          <w:lang w:val="en-US"/>
        </w:rPr>
        <w:t>)</w:t>
      </w:r>
      <w:r w:rsidR="0032669E" w:rsidRPr="00491D1D">
        <w:rPr>
          <w:rFonts w:ascii="Bookman Old Style" w:hAnsi="Bookman Old Style" w:cs="Arial"/>
          <w:b/>
          <w:bCs/>
          <w:sz w:val="28"/>
          <w:szCs w:val="28"/>
          <w:lang w:val="en-US"/>
        </w:rPr>
        <w:t xml:space="preserve"> </w:t>
      </w:r>
      <w:r w:rsidR="0032669E">
        <w:rPr>
          <w:rFonts w:ascii="Bookman Old Style" w:hAnsi="Bookman Old Style" w:cs="Arial"/>
          <w:sz w:val="28"/>
          <w:szCs w:val="28"/>
          <w:lang w:val="el-GR"/>
        </w:rPr>
        <w:t>αναφέρετο</w:t>
      </w:r>
      <w:r w:rsidR="0032669E" w:rsidRPr="00491D1D">
        <w:rPr>
          <w:rFonts w:ascii="Bookman Old Style" w:hAnsi="Bookman Old Style" w:cs="Arial"/>
          <w:sz w:val="28"/>
          <w:szCs w:val="28"/>
          <w:lang w:val="en-US"/>
        </w:rPr>
        <w:t xml:space="preserve"> </w:t>
      </w:r>
      <w:r w:rsidR="0032669E">
        <w:rPr>
          <w:rFonts w:ascii="Bookman Old Style" w:hAnsi="Bookman Old Style" w:cs="Arial"/>
          <w:sz w:val="28"/>
          <w:szCs w:val="28"/>
          <w:lang w:val="el-GR"/>
        </w:rPr>
        <w:t>ότι</w:t>
      </w:r>
      <w:r w:rsidR="00020DDA" w:rsidRPr="00491D1D">
        <w:rPr>
          <w:rFonts w:ascii="Bookman Old Style" w:hAnsi="Bookman Old Style" w:cs="Arial"/>
          <w:sz w:val="28"/>
          <w:szCs w:val="28"/>
          <w:lang w:val="en-US"/>
        </w:rPr>
        <w:t>:</w:t>
      </w:r>
    </w:p>
    <w:p w14:paraId="612B24D0" w14:textId="77777777" w:rsidR="00F20B5F" w:rsidRPr="00491D1D" w:rsidRDefault="00F20B5F" w:rsidP="002B3441">
      <w:pPr>
        <w:spacing w:line="480" w:lineRule="auto"/>
        <w:ind w:right="-35"/>
        <w:jc w:val="both"/>
        <w:rPr>
          <w:rFonts w:ascii="Bookman Old Style" w:hAnsi="Bookman Old Style" w:cs="Arial"/>
          <w:sz w:val="28"/>
          <w:szCs w:val="28"/>
          <w:lang w:val="en-US"/>
        </w:rPr>
      </w:pPr>
    </w:p>
    <w:p w14:paraId="02F7F9D8" w14:textId="5D75B6C5" w:rsidR="00F20B5F" w:rsidRDefault="00F20B5F" w:rsidP="002B3441">
      <w:pPr>
        <w:spacing w:line="276" w:lineRule="auto"/>
        <w:ind w:left="426" w:right="390"/>
        <w:jc w:val="both"/>
        <w:rPr>
          <w:rFonts w:ascii="Bookman Old Style" w:hAnsi="Bookman Old Style" w:cs="Arial"/>
          <w:sz w:val="26"/>
          <w:szCs w:val="26"/>
          <w:lang w:val="en-US"/>
        </w:rPr>
      </w:pPr>
      <w:r>
        <w:rPr>
          <w:rFonts w:ascii="Bookman Old Style" w:hAnsi="Bookman Old Style" w:cs="Arial"/>
          <w:sz w:val="26"/>
          <w:szCs w:val="26"/>
          <w:lang w:val="en-US"/>
        </w:rPr>
        <w:t>“c) the decision of the Sovetsky District Court of the city of Bryansk, dated 20.05.2022, constitutes the arrest warrant for B.Y. S</w:t>
      </w:r>
      <w:r w:rsidR="001507AC">
        <w:rPr>
          <w:rFonts w:ascii="Bookman Old Style" w:hAnsi="Bookman Old Style" w:cs="Arial"/>
          <w:sz w:val="26"/>
          <w:szCs w:val="26"/>
          <w:lang w:val="en-US"/>
        </w:rPr>
        <w:t>.</w:t>
      </w:r>
      <w:r>
        <w:rPr>
          <w:rFonts w:ascii="Bookman Old Style" w:hAnsi="Bookman Old Style" w:cs="Arial"/>
          <w:sz w:val="26"/>
          <w:szCs w:val="26"/>
          <w:lang w:val="en-US"/>
        </w:rPr>
        <w:t xml:space="preserve"> within the meaning of Article 12 of the European Convention on Extradition.”</w:t>
      </w:r>
    </w:p>
    <w:p w14:paraId="233F2B08" w14:textId="77777777" w:rsidR="00240315" w:rsidRDefault="00240315" w:rsidP="002B3441">
      <w:pPr>
        <w:spacing w:line="276" w:lineRule="auto"/>
        <w:ind w:left="426" w:right="390"/>
        <w:jc w:val="both"/>
        <w:rPr>
          <w:rFonts w:ascii="Bookman Old Style" w:hAnsi="Bookman Old Style" w:cs="Arial"/>
          <w:sz w:val="26"/>
          <w:szCs w:val="26"/>
          <w:lang w:val="en-US"/>
        </w:rPr>
      </w:pPr>
    </w:p>
    <w:p w14:paraId="44BB1678" w14:textId="5ECC74CD" w:rsidR="00020DDA" w:rsidRDefault="00661ECF" w:rsidP="002B3441">
      <w:pPr>
        <w:spacing w:line="480" w:lineRule="auto"/>
        <w:ind w:right="-35"/>
        <w:jc w:val="both"/>
        <w:rPr>
          <w:rFonts w:ascii="Bookman Old Style" w:hAnsi="Bookman Old Style" w:cs="Arial"/>
          <w:sz w:val="28"/>
          <w:szCs w:val="28"/>
          <w:lang w:val="el-GR"/>
        </w:rPr>
      </w:pPr>
      <w:r w:rsidRPr="00E04898">
        <w:rPr>
          <w:rFonts w:ascii="Bookman Old Style" w:hAnsi="Bookman Old Style" w:cs="Arial"/>
          <w:sz w:val="28"/>
          <w:szCs w:val="28"/>
          <w:lang w:val="el-GR"/>
        </w:rPr>
        <w:t xml:space="preserve">Επιπρόσθετα, </w:t>
      </w:r>
      <w:r w:rsidR="00E04898" w:rsidRPr="00E04898">
        <w:rPr>
          <w:rFonts w:ascii="Bookman Old Style" w:hAnsi="Bookman Old Style" w:cs="Arial"/>
          <w:sz w:val="28"/>
          <w:szCs w:val="28"/>
          <w:lang w:val="el-GR"/>
        </w:rPr>
        <w:t xml:space="preserve">στο πλαίσιο που εξετάζεται το υπό κρίση ζήτημα </w:t>
      </w:r>
      <w:r w:rsidRPr="00E04898">
        <w:rPr>
          <w:rFonts w:ascii="Bookman Old Style" w:hAnsi="Bookman Old Style" w:cs="Arial"/>
          <w:sz w:val="28"/>
          <w:szCs w:val="28"/>
          <w:lang w:val="el-GR"/>
        </w:rPr>
        <w:t xml:space="preserve">θα πρέπει ένας να έχει κατά νου </w:t>
      </w:r>
      <w:r w:rsidR="0032669E" w:rsidRPr="00E04898">
        <w:rPr>
          <w:rFonts w:ascii="Bookman Old Style" w:hAnsi="Bookman Old Style" w:cs="Arial"/>
          <w:sz w:val="28"/>
          <w:szCs w:val="28"/>
          <w:lang w:val="el-GR"/>
        </w:rPr>
        <w:t>«</w:t>
      </w:r>
      <w:r w:rsidR="0032669E" w:rsidRPr="00E04898">
        <w:rPr>
          <w:rFonts w:ascii="Bookman Old Style" w:hAnsi="Bookman Old Style" w:cs="Arial"/>
          <w:i/>
          <w:iCs/>
          <w:sz w:val="28"/>
          <w:szCs w:val="28"/>
          <w:lang w:val="el-GR"/>
        </w:rPr>
        <w:t>την διακηρυγμένη φιλελεύθερη ερμηνεία διεθνώ</w:t>
      </w:r>
      <w:r w:rsidR="004868B3">
        <w:rPr>
          <w:rFonts w:ascii="Bookman Old Style" w:hAnsi="Bookman Old Style" w:cs="Arial"/>
          <w:i/>
          <w:iCs/>
          <w:sz w:val="28"/>
          <w:szCs w:val="28"/>
          <w:lang w:val="el-GR"/>
        </w:rPr>
        <w:t>ν</w:t>
      </w:r>
      <w:r w:rsidR="0032669E" w:rsidRPr="00E04898">
        <w:rPr>
          <w:rFonts w:ascii="Bookman Old Style" w:hAnsi="Bookman Old Style" w:cs="Arial"/>
          <w:i/>
          <w:iCs/>
          <w:sz w:val="28"/>
          <w:szCs w:val="28"/>
          <w:lang w:val="el-GR"/>
        </w:rPr>
        <w:t xml:space="preserve"> συμβάσεων αυτής της μορφής</w:t>
      </w:r>
      <w:r w:rsidR="0032669E" w:rsidRPr="00E04898">
        <w:rPr>
          <w:rFonts w:ascii="Bookman Old Style" w:hAnsi="Bookman Old Style" w:cs="Arial"/>
          <w:sz w:val="28"/>
          <w:szCs w:val="28"/>
          <w:lang w:val="el-GR"/>
        </w:rPr>
        <w:t xml:space="preserve">» (βλ. </w:t>
      </w:r>
      <w:r w:rsidR="0032669E" w:rsidRPr="00E04898">
        <w:rPr>
          <w:rFonts w:ascii="Bookman Old Style" w:hAnsi="Bookman Old Style" w:cs="Arial"/>
          <w:b/>
          <w:bCs/>
          <w:i/>
          <w:iCs/>
          <w:sz w:val="28"/>
          <w:szCs w:val="28"/>
          <w:lang w:val="en-US"/>
        </w:rPr>
        <w:t>Mechanov</w:t>
      </w:r>
      <w:r w:rsidR="0032669E" w:rsidRPr="00E04898">
        <w:rPr>
          <w:rFonts w:ascii="Bookman Old Style" w:hAnsi="Bookman Old Style" w:cs="Arial"/>
          <w:b/>
          <w:bCs/>
          <w:i/>
          <w:iCs/>
          <w:sz w:val="28"/>
          <w:szCs w:val="28"/>
          <w:lang w:val="el-GR"/>
        </w:rPr>
        <w:t xml:space="preserve"> </w:t>
      </w:r>
      <w:r w:rsidR="0032669E" w:rsidRPr="00E04898">
        <w:rPr>
          <w:rFonts w:ascii="Bookman Old Style" w:hAnsi="Bookman Old Style" w:cs="Arial"/>
          <w:b/>
          <w:bCs/>
          <w:i/>
          <w:iCs/>
          <w:sz w:val="28"/>
          <w:szCs w:val="28"/>
          <w:lang w:val="en-US"/>
        </w:rPr>
        <w:t>Valeri</w:t>
      </w:r>
      <w:r w:rsidR="0032669E" w:rsidRPr="00E04898">
        <w:rPr>
          <w:rFonts w:ascii="Bookman Old Style" w:hAnsi="Bookman Old Style" w:cs="Arial"/>
          <w:b/>
          <w:bCs/>
          <w:i/>
          <w:iCs/>
          <w:sz w:val="28"/>
          <w:szCs w:val="28"/>
          <w:lang w:val="el-GR"/>
        </w:rPr>
        <w:t xml:space="preserve"> (Αρ. 2) (2001) </w:t>
      </w:r>
      <w:r w:rsidR="00592479" w:rsidRPr="00592479">
        <w:rPr>
          <w:rFonts w:ascii="Bookman Old Style" w:hAnsi="Bookman Old Style" w:cs="Arial"/>
          <w:b/>
          <w:bCs/>
          <w:i/>
          <w:iCs/>
          <w:sz w:val="28"/>
          <w:szCs w:val="28"/>
          <w:lang w:val="el-GR"/>
        </w:rPr>
        <w:t xml:space="preserve">                  </w:t>
      </w:r>
      <w:r w:rsidR="0032669E" w:rsidRPr="00E04898">
        <w:rPr>
          <w:rFonts w:ascii="Bookman Old Style" w:hAnsi="Bookman Old Style" w:cs="Arial"/>
          <w:b/>
          <w:bCs/>
          <w:i/>
          <w:iCs/>
          <w:sz w:val="28"/>
          <w:szCs w:val="28"/>
          <w:lang w:val="el-GR"/>
        </w:rPr>
        <w:t>1 Α.Α.Δ.</w:t>
      </w:r>
      <w:r w:rsidR="00592479" w:rsidRPr="00592479">
        <w:rPr>
          <w:rFonts w:ascii="Bookman Old Style" w:hAnsi="Bookman Old Style" w:cs="Arial"/>
          <w:b/>
          <w:bCs/>
          <w:i/>
          <w:iCs/>
          <w:sz w:val="28"/>
          <w:szCs w:val="28"/>
          <w:lang w:val="el-GR"/>
        </w:rPr>
        <w:t xml:space="preserve"> </w:t>
      </w:r>
      <w:r w:rsidR="0032669E" w:rsidRPr="00E04898">
        <w:rPr>
          <w:rFonts w:ascii="Bookman Old Style" w:hAnsi="Bookman Old Style" w:cs="Arial"/>
          <w:b/>
          <w:bCs/>
          <w:i/>
          <w:iCs/>
          <w:sz w:val="28"/>
          <w:szCs w:val="28"/>
          <w:lang w:val="el-GR"/>
        </w:rPr>
        <w:t>1228</w:t>
      </w:r>
      <w:r w:rsidR="0032669E" w:rsidRPr="00E04898">
        <w:rPr>
          <w:rFonts w:ascii="Bookman Old Style" w:hAnsi="Bookman Old Style" w:cs="Arial"/>
          <w:sz w:val="28"/>
          <w:szCs w:val="28"/>
          <w:lang w:val="el-GR"/>
        </w:rPr>
        <w:t>)</w:t>
      </w:r>
      <w:r w:rsidR="00592479" w:rsidRPr="00592479">
        <w:rPr>
          <w:rFonts w:ascii="Bookman Old Style" w:hAnsi="Bookman Old Style" w:cs="Arial"/>
          <w:sz w:val="28"/>
          <w:szCs w:val="28"/>
          <w:lang w:val="el-GR"/>
        </w:rPr>
        <w:t>,</w:t>
      </w:r>
      <w:r w:rsidR="0032669E" w:rsidRPr="00E04898">
        <w:rPr>
          <w:rFonts w:ascii="Bookman Old Style" w:hAnsi="Bookman Old Style" w:cs="Arial"/>
          <w:sz w:val="28"/>
          <w:szCs w:val="28"/>
          <w:lang w:val="el-GR"/>
        </w:rPr>
        <w:t xml:space="preserve"> </w:t>
      </w:r>
      <w:r w:rsidR="00BD1616" w:rsidRPr="00E04898">
        <w:rPr>
          <w:rFonts w:ascii="Bookman Old Style" w:hAnsi="Bookman Old Style" w:cs="Arial"/>
          <w:sz w:val="28"/>
          <w:szCs w:val="28"/>
          <w:lang w:val="el-GR"/>
        </w:rPr>
        <w:t>εφόσον</w:t>
      </w:r>
      <w:r w:rsidRPr="00E04898">
        <w:rPr>
          <w:rFonts w:ascii="Bookman Old Style" w:hAnsi="Bookman Old Style" w:cs="Arial"/>
          <w:sz w:val="28"/>
          <w:szCs w:val="28"/>
          <w:lang w:val="el-GR"/>
        </w:rPr>
        <w:t xml:space="preserve"> οι Συμβάσεις για την έκδοση φυγοδίκων δεν υπόκεινται στους συνήθεις κανόνες ερμηνείας του ημεδαπού δικαίου</w:t>
      </w:r>
      <w:r w:rsidR="00BD1616" w:rsidRPr="00E04898">
        <w:rPr>
          <w:rFonts w:ascii="Bookman Old Style" w:hAnsi="Bookman Old Style" w:cs="Arial"/>
          <w:sz w:val="28"/>
          <w:szCs w:val="28"/>
          <w:lang w:val="el-GR"/>
        </w:rPr>
        <w:t xml:space="preserve"> και</w:t>
      </w:r>
      <w:r w:rsidR="004868B3">
        <w:rPr>
          <w:rFonts w:ascii="Bookman Old Style" w:hAnsi="Bookman Old Style" w:cs="Arial"/>
          <w:sz w:val="28"/>
          <w:szCs w:val="28"/>
          <w:lang w:val="el-GR"/>
        </w:rPr>
        <w:t>,</w:t>
      </w:r>
      <w:r w:rsidR="00BD1616" w:rsidRPr="00E04898">
        <w:rPr>
          <w:rFonts w:ascii="Bookman Old Style" w:hAnsi="Bookman Old Style" w:cs="Arial"/>
          <w:sz w:val="28"/>
          <w:szCs w:val="28"/>
          <w:lang w:val="el-GR"/>
        </w:rPr>
        <w:t xml:space="preserve"> τούτο</w:t>
      </w:r>
      <w:r w:rsidR="004868B3">
        <w:rPr>
          <w:rFonts w:ascii="Bookman Old Style" w:hAnsi="Bookman Old Style" w:cs="Arial"/>
          <w:sz w:val="28"/>
          <w:szCs w:val="28"/>
          <w:lang w:val="el-GR"/>
        </w:rPr>
        <w:t>,</w:t>
      </w:r>
      <w:r w:rsidR="00BD1616" w:rsidRPr="00E04898">
        <w:rPr>
          <w:rFonts w:ascii="Bookman Old Style" w:hAnsi="Bookman Old Style" w:cs="Arial"/>
          <w:color w:val="000000"/>
          <w:sz w:val="28"/>
          <w:szCs w:val="28"/>
          <w:shd w:val="clear" w:color="auto" w:fill="FFFFFF"/>
          <w:lang w:val="el-GR"/>
        </w:rPr>
        <w:t xml:space="preserve"> προς ευόδωση του στόχου στον οποίο αποβλέπουν, </w:t>
      </w:r>
      <w:r w:rsidR="00BD1616" w:rsidRPr="00E04898">
        <w:rPr>
          <w:rFonts w:ascii="Bookman Old Style" w:hAnsi="Bookman Old Style" w:cs="Arial"/>
          <w:sz w:val="28"/>
          <w:szCs w:val="28"/>
          <w:lang w:val="el-GR"/>
        </w:rPr>
        <w:t>που δεν είναι άλλος από</w:t>
      </w:r>
      <w:r w:rsidR="00BD1616" w:rsidRPr="00E04898">
        <w:rPr>
          <w:rFonts w:ascii="Bookman Old Style" w:hAnsi="Bookman Old Style" w:cs="Arial"/>
          <w:color w:val="000000"/>
          <w:sz w:val="28"/>
          <w:szCs w:val="28"/>
          <w:shd w:val="clear" w:color="auto" w:fill="FFFFFF"/>
          <w:lang w:val="el-GR"/>
        </w:rPr>
        <w:t xml:space="preserve"> την καταπολέμηση του εγκλήματος σε διεθνή κλίμακα</w:t>
      </w:r>
      <w:r w:rsidR="004D2411">
        <w:rPr>
          <w:rFonts w:ascii="Bookman Old Style" w:hAnsi="Bookman Old Style" w:cs="Arial"/>
          <w:color w:val="000000"/>
          <w:sz w:val="28"/>
          <w:szCs w:val="28"/>
          <w:shd w:val="clear" w:color="auto" w:fill="FFFFFF"/>
          <w:lang w:val="el-GR"/>
        </w:rPr>
        <w:t xml:space="preserve"> με την παρεμπόδιση εγκληματιών να καταφεύγουν σε άλλη χώρα για να αποφύγουν τη δίκη και την τιμωρία τους</w:t>
      </w:r>
      <w:r w:rsidR="00BD1616" w:rsidRPr="00E04898">
        <w:rPr>
          <w:rFonts w:ascii="Bookman Old Style" w:hAnsi="Bookman Old Style" w:cs="Arial"/>
          <w:color w:val="000000"/>
          <w:sz w:val="28"/>
          <w:szCs w:val="28"/>
          <w:shd w:val="clear" w:color="auto" w:fill="FFFFFF"/>
          <w:lang w:val="el-GR"/>
        </w:rPr>
        <w:t>.</w:t>
      </w:r>
      <w:r w:rsidRPr="00E04898">
        <w:rPr>
          <w:rFonts w:ascii="Bookman Old Style" w:hAnsi="Bookman Old Style" w:cs="Arial"/>
          <w:sz w:val="28"/>
          <w:szCs w:val="28"/>
          <w:lang w:val="el-GR"/>
        </w:rPr>
        <w:t xml:space="preserve"> </w:t>
      </w:r>
      <w:r w:rsidR="00BD1616" w:rsidRPr="00E04898">
        <w:rPr>
          <w:rFonts w:ascii="Bookman Old Style" w:hAnsi="Bookman Old Style" w:cs="Arial"/>
          <w:sz w:val="28"/>
          <w:szCs w:val="28"/>
          <w:lang w:val="el-GR"/>
        </w:rPr>
        <w:t>Είναι ακριβώς αυτό που και το πρωτόδικο</w:t>
      </w:r>
      <w:r w:rsidRPr="00E04898">
        <w:rPr>
          <w:rFonts w:ascii="Bookman Old Style" w:hAnsi="Bookman Old Style" w:cs="Arial"/>
          <w:sz w:val="28"/>
          <w:szCs w:val="28"/>
          <w:lang w:val="el-GR"/>
        </w:rPr>
        <w:t xml:space="preserve"> Δικαστήριο επεσήμανε,</w:t>
      </w:r>
      <w:r w:rsidR="00BD1616" w:rsidRPr="00E04898">
        <w:rPr>
          <w:rFonts w:ascii="Bookman Old Style" w:hAnsi="Bookman Old Style" w:cs="Arial"/>
          <w:sz w:val="28"/>
          <w:szCs w:val="28"/>
          <w:lang w:val="el-GR"/>
        </w:rPr>
        <w:t xml:space="preserve"> αναφερόμενο σε «</w:t>
      </w:r>
      <w:r w:rsidR="00BD1616" w:rsidRPr="00E04898">
        <w:rPr>
          <w:rFonts w:ascii="Bookman Old Style" w:hAnsi="Bookman Old Style" w:cs="Arial"/>
          <w:i/>
          <w:iCs/>
          <w:sz w:val="28"/>
          <w:szCs w:val="28"/>
          <w:lang w:val="el-GR"/>
        </w:rPr>
        <w:t>πνεύμα φιλελεύθερο και διερευνητικό</w:t>
      </w:r>
      <w:r w:rsidR="00BD1616" w:rsidRPr="00E04898">
        <w:rPr>
          <w:rFonts w:ascii="Bookman Old Style" w:hAnsi="Bookman Old Style" w:cs="Arial"/>
          <w:sz w:val="28"/>
          <w:szCs w:val="28"/>
          <w:lang w:val="el-GR"/>
        </w:rPr>
        <w:t xml:space="preserve">» καθόσον αφορά την ερμηνεία στο πλαίσιο των Συμβάσεων Εκδόσεως </w:t>
      </w:r>
      <w:r w:rsidR="002B3441">
        <w:rPr>
          <w:rFonts w:ascii="Bookman Old Style" w:hAnsi="Bookman Old Style" w:cs="Arial"/>
          <w:sz w:val="28"/>
          <w:szCs w:val="28"/>
          <w:lang w:val="el-GR"/>
        </w:rPr>
        <w:t>Φ</w:t>
      </w:r>
      <w:r w:rsidR="00BD1616" w:rsidRPr="00E04898">
        <w:rPr>
          <w:rFonts w:ascii="Bookman Old Style" w:hAnsi="Bookman Old Style" w:cs="Arial"/>
          <w:sz w:val="28"/>
          <w:szCs w:val="28"/>
          <w:lang w:val="el-GR"/>
        </w:rPr>
        <w:t xml:space="preserve">υγοδίκων </w:t>
      </w:r>
      <w:r w:rsidRPr="00E04898">
        <w:rPr>
          <w:rFonts w:ascii="Bookman Old Style" w:hAnsi="Bookman Old Style" w:cs="Arial"/>
          <w:sz w:val="28"/>
          <w:szCs w:val="28"/>
          <w:lang w:val="el-GR"/>
        </w:rPr>
        <w:t>(</w:t>
      </w:r>
      <w:r w:rsidR="00E460B1" w:rsidRPr="00E04898">
        <w:rPr>
          <w:rFonts w:ascii="Bookman Old Style" w:hAnsi="Bookman Old Style" w:cs="Arial"/>
          <w:b/>
          <w:bCs/>
          <w:i/>
          <w:iCs/>
          <w:sz w:val="28"/>
          <w:szCs w:val="28"/>
          <w:lang w:val="en-US"/>
        </w:rPr>
        <w:t>In</w:t>
      </w:r>
      <w:r w:rsidR="00E460B1" w:rsidRPr="00E04898">
        <w:rPr>
          <w:rFonts w:ascii="Bookman Old Style" w:hAnsi="Bookman Old Style" w:cs="Arial"/>
          <w:b/>
          <w:bCs/>
          <w:i/>
          <w:iCs/>
          <w:sz w:val="28"/>
          <w:szCs w:val="28"/>
          <w:lang w:val="el-GR"/>
        </w:rPr>
        <w:t xml:space="preserve"> </w:t>
      </w:r>
      <w:r w:rsidR="00E460B1" w:rsidRPr="00E04898">
        <w:rPr>
          <w:rFonts w:ascii="Bookman Old Style" w:hAnsi="Bookman Old Style" w:cs="Arial"/>
          <w:b/>
          <w:bCs/>
          <w:i/>
          <w:iCs/>
          <w:sz w:val="28"/>
          <w:szCs w:val="28"/>
          <w:lang w:val="en-US"/>
        </w:rPr>
        <w:t>Re</w:t>
      </w:r>
      <w:r w:rsidR="00E460B1" w:rsidRPr="00E04898">
        <w:rPr>
          <w:rFonts w:ascii="Bookman Old Style" w:hAnsi="Bookman Old Style" w:cs="Arial"/>
          <w:b/>
          <w:bCs/>
          <w:i/>
          <w:iCs/>
          <w:sz w:val="28"/>
          <w:szCs w:val="28"/>
          <w:lang w:val="el-GR"/>
        </w:rPr>
        <w:t xml:space="preserve"> </w:t>
      </w:r>
      <w:r w:rsidR="00E460B1" w:rsidRPr="00E04898">
        <w:rPr>
          <w:rFonts w:ascii="Bookman Old Style" w:hAnsi="Bookman Old Style" w:cs="Arial"/>
          <w:b/>
          <w:bCs/>
          <w:i/>
          <w:iCs/>
          <w:sz w:val="28"/>
          <w:szCs w:val="28"/>
          <w:lang w:val="en-US"/>
        </w:rPr>
        <w:t>Hachem</w:t>
      </w:r>
      <w:r w:rsidR="00E460B1" w:rsidRPr="00E04898">
        <w:rPr>
          <w:rFonts w:ascii="Bookman Old Style" w:hAnsi="Bookman Old Style" w:cs="Arial"/>
          <w:b/>
          <w:bCs/>
          <w:i/>
          <w:iCs/>
          <w:sz w:val="28"/>
          <w:szCs w:val="28"/>
          <w:lang w:val="el-GR"/>
        </w:rPr>
        <w:t xml:space="preserve"> (1991) 1 Α.Α.Δ. 733, </w:t>
      </w:r>
      <w:r w:rsidR="00E460B1" w:rsidRPr="00E04898">
        <w:rPr>
          <w:rFonts w:ascii="Bookman Old Style" w:hAnsi="Bookman Old Style" w:cs="Arial"/>
          <w:b/>
          <w:bCs/>
          <w:i/>
          <w:iCs/>
          <w:sz w:val="28"/>
          <w:szCs w:val="28"/>
          <w:lang w:val="en-US"/>
        </w:rPr>
        <w:t>Petrov</w:t>
      </w:r>
      <w:r w:rsidR="00E460B1" w:rsidRPr="00E04898">
        <w:rPr>
          <w:rFonts w:ascii="Bookman Old Style" w:hAnsi="Bookman Old Style" w:cs="Arial"/>
          <w:b/>
          <w:bCs/>
          <w:i/>
          <w:iCs/>
          <w:sz w:val="28"/>
          <w:szCs w:val="28"/>
          <w:lang w:val="el-GR"/>
        </w:rPr>
        <w:t xml:space="preserve"> (1996)  1 Α.Α.Δ. 856</w:t>
      </w:r>
      <w:r w:rsidR="00E460B1" w:rsidRPr="00E04898">
        <w:rPr>
          <w:rFonts w:ascii="Bookman Old Style" w:hAnsi="Bookman Old Style" w:cs="Arial"/>
          <w:sz w:val="28"/>
          <w:szCs w:val="28"/>
          <w:lang w:val="el-GR"/>
        </w:rPr>
        <w:t xml:space="preserve"> και </w:t>
      </w:r>
      <w:r w:rsidR="00E460B1" w:rsidRPr="00E04898">
        <w:rPr>
          <w:rFonts w:ascii="Bookman Old Style" w:hAnsi="Bookman Old Style" w:cs="Arial"/>
          <w:b/>
          <w:bCs/>
          <w:i/>
          <w:iCs/>
          <w:sz w:val="28"/>
          <w:szCs w:val="28"/>
          <w:lang w:val="en-US"/>
        </w:rPr>
        <w:t>Atapina</w:t>
      </w:r>
      <w:r w:rsidR="00E460B1" w:rsidRPr="00E04898">
        <w:rPr>
          <w:rFonts w:ascii="Bookman Old Style" w:hAnsi="Bookman Old Style" w:cs="Arial"/>
          <w:b/>
          <w:bCs/>
          <w:i/>
          <w:iCs/>
          <w:sz w:val="28"/>
          <w:szCs w:val="28"/>
          <w:lang w:val="el-GR"/>
        </w:rPr>
        <w:t xml:space="preserve"> (2003) 1 </w:t>
      </w:r>
      <w:r w:rsidR="00E460B1" w:rsidRPr="00E04898">
        <w:rPr>
          <w:rFonts w:ascii="Bookman Old Style" w:hAnsi="Bookman Old Style" w:cs="Arial"/>
          <w:b/>
          <w:bCs/>
          <w:i/>
          <w:iCs/>
          <w:sz w:val="28"/>
          <w:szCs w:val="28"/>
          <w:lang w:val="en-US"/>
        </w:rPr>
        <w:t>A</w:t>
      </w:r>
      <w:r w:rsidR="00E460B1" w:rsidRPr="00E04898">
        <w:rPr>
          <w:rFonts w:ascii="Bookman Old Style" w:hAnsi="Bookman Old Style" w:cs="Arial"/>
          <w:b/>
          <w:bCs/>
          <w:i/>
          <w:iCs/>
          <w:sz w:val="28"/>
          <w:szCs w:val="28"/>
          <w:lang w:val="el-GR"/>
        </w:rPr>
        <w:t>.</w:t>
      </w:r>
      <w:r w:rsidR="00E460B1" w:rsidRPr="00E04898">
        <w:rPr>
          <w:rFonts w:ascii="Bookman Old Style" w:hAnsi="Bookman Old Style" w:cs="Arial"/>
          <w:b/>
          <w:bCs/>
          <w:i/>
          <w:iCs/>
          <w:sz w:val="28"/>
          <w:szCs w:val="28"/>
          <w:lang w:val="en-US"/>
        </w:rPr>
        <w:t>A</w:t>
      </w:r>
      <w:r w:rsidR="00E460B1" w:rsidRPr="00E04898">
        <w:rPr>
          <w:rFonts w:ascii="Bookman Old Style" w:hAnsi="Bookman Old Style" w:cs="Arial"/>
          <w:b/>
          <w:bCs/>
          <w:i/>
          <w:iCs/>
          <w:sz w:val="28"/>
          <w:szCs w:val="28"/>
          <w:lang w:val="el-GR"/>
        </w:rPr>
        <w:t>.Δ. 1509</w:t>
      </w:r>
      <w:r w:rsidR="00E460B1" w:rsidRPr="00E04898">
        <w:rPr>
          <w:rFonts w:ascii="Bookman Old Style" w:hAnsi="Bookman Old Style" w:cs="Arial"/>
          <w:sz w:val="28"/>
          <w:szCs w:val="28"/>
          <w:lang w:val="el-GR"/>
        </w:rPr>
        <w:t>).</w:t>
      </w:r>
    </w:p>
    <w:p w14:paraId="7ACE5375" w14:textId="77777777" w:rsidR="004D2411" w:rsidRDefault="004D2411" w:rsidP="00963265">
      <w:pPr>
        <w:spacing w:line="480" w:lineRule="auto"/>
        <w:ind w:right="-35"/>
        <w:jc w:val="both"/>
        <w:rPr>
          <w:rFonts w:ascii="Bookman Old Style" w:hAnsi="Bookman Old Style" w:cs="Arial"/>
          <w:sz w:val="28"/>
          <w:szCs w:val="28"/>
          <w:lang w:val="el-GR"/>
        </w:rPr>
      </w:pPr>
    </w:p>
    <w:p w14:paraId="2A6A9C6E" w14:textId="3856EBA1" w:rsidR="004D2411" w:rsidRDefault="004D2411"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w:t>
      </w:r>
      <w:r w:rsidR="00592479" w:rsidRPr="00592479">
        <w:rPr>
          <w:rFonts w:ascii="Bookman Old Style" w:hAnsi="Bookman Old Style" w:cs="Arial"/>
          <w:sz w:val="28"/>
          <w:szCs w:val="28"/>
          <w:lang w:val="el-GR"/>
        </w:rPr>
        <w:t xml:space="preserve">’ </w:t>
      </w:r>
      <w:r>
        <w:rPr>
          <w:rFonts w:ascii="Bookman Old Style" w:hAnsi="Bookman Old Style" w:cs="Arial"/>
          <w:sz w:val="28"/>
          <w:szCs w:val="28"/>
          <w:lang w:val="el-GR"/>
        </w:rPr>
        <w:t>ακολουθίαν όλων των πιο πάνω</w:t>
      </w:r>
      <w:r w:rsidR="00BA1AEF">
        <w:rPr>
          <w:rFonts w:ascii="Bookman Old Style" w:hAnsi="Bookman Old Style" w:cs="Arial"/>
          <w:sz w:val="28"/>
          <w:szCs w:val="28"/>
          <w:lang w:val="el-GR"/>
        </w:rPr>
        <w:t xml:space="preserve"> και υπό το φως των σχετικών δεδομένων</w:t>
      </w:r>
      <w:r w:rsidR="00315791">
        <w:rPr>
          <w:rFonts w:ascii="Bookman Old Style" w:hAnsi="Bookman Old Style" w:cs="Arial"/>
          <w:sz w:val="28"/>
          <w:szCs w:val="28"/>
          <w:lang w:val="el-GR"/>
        </w:rPr>
        <w:t>,</w:t>
      </w:r>
      <w:r w:rsidR="002C618C">
        <w:rPr>
          <w:rFonts w:ascii="Bookman Old Style" w:hAnsi="Bookman Old Style" w:cs="Arial"/>
          <w:sz w:val="28"/>
          <w:szCs w:val="28"/>
          <w:lang w:val="el-GR"/>
        </w:rPr>
        <w:t xml:space="preserve"> η κατάληξη του πρωτόδικου Δικαστηρίου να απορρίψει τη</w:t>
      </w:r>
      <w:r w:rsidR="00315791">
        <w:rPr>
          <w:rFonts w:ascii="Bookman Old Style" w:hAnsi="Bookman Old Style" w:cs="Arial"/>
          <w:sz w:val="28"/>
          <w:szCs w:val="28"/>
          <w:lang w:val="el-GR"/>
        </w:rPr>
        <w:t xml:space="preserve"> θέση του Εφεσείοντα περί μη συμμόρφωσης με τις πρόνοιες του </w:t>
      </w:r>
      <w:r w:rsidR="00315791" w:rsidRPr="00592479">
        <w:rPr>
          <w:rFonts w:ascii="Bookman Old Style" w:hAnsi="Bookman Old Style" w:cs="Arial"/>
          <w:b/>
          <w:bCs/>
          <w:i/>
          <w:iCs/>
          <w:sz w:val="28"/>
          <w:szCs w:val="28"/>
          <w:lang w:val="el-GR"/>
        </w:rPr>
        <w:t>Άρθρου 12</w:t>
      </w:r>
      <w:r w:rsidR="00315791" w:rsidRPr="00315791">
        <w:rPr>
          <w:rFonts w:ascii="Bookman Old Style" w:hAnsi="Bookman Old Style" w:cs="Arial"/>
          <w:b/>
          <w:bCs/>
          <w:i/>
          <w:iCs/>
          <w:sz w:val="28"/>
          <w:szCs w:val="28"/>
          <w:lang w:val="el-GR"/>
        </w:rPr>
        <w:t xml:space="preserve"> </w:t>
      </w:r>
      <w:r w:rsidR="00315791">
        <w:rPr>
          <w:rFonts w:ascii="Bookman Old Style" w:hAnsi="Bookman Old Style" w:cs="Arial"/>
          <w:b/>
          <w:bCs/>
          <w:i/>
          <w:iCs/>
          <w:sz w:val="28"/>
          <w:szCs w:val="28"/>
          <w:lang w:val="el-GR"/>
        </w:rPr>
        <w:t>του Ν. 95/1970</w:t>
      </w:r>
      <w:r w:rsidR="00315791">
        <w:rPr>
          <w:rFonts w:ascii="Bookman Old Style" w:hAnsi="Bookman Old Style" w:cs="Arial"/>
          <w:sz w:val="28"/>
          <w:szCs w:val="28"/>
          <w:lang w:val="el-GR"/>
        </w:rPr>
        <w:t>,</w:t>
      </w:r>
      <w:r w:rsidR="00315791">
        <w:rPr>
          <w:rFonts w:ascii="Bookman Old Style" w:hAnsi="Bookman Old Style" w:cs="Arial"/>
          <w:b/>
          <w:bCs/>
          <w:i/>
          <w:iCs/>
          <w:sz w:val="28"/>
          <w:szCs w:val="28"/>
          <w:lang w:val="el-GR"/>
        </w:rPr>
        <w:t xml:space="preserve"> </w:t>
      </w:r>
      <w:r w:rsidR="00315791">
        <w:rPr>
          <w:rFonts w:ascii="Bookman Old Style" w:hAnsi="Bookman Old Style" w:cs="Arial"/>
          <w:sz w:val="28"/>
          <w:szCs w:val="28"/>
          <w:lang w:val="el-GR"/>
        </w:rPr>
        <w:t>ήταν ορθή. Ως εκ τούτου</w:t>
      </w:r>
      <w:r>
        <w:rPr>
          <w:rFonts w:ascii="Bookman Old Style" w:hAnsi="Bookman Old Style" w:cs="Arial"/>
          <w:sz w:val="28"/>
          <w:szCs w:val="28"/>
          <w:lang w:val="el-GR"/>
        </w:rPr>
        <w:t xml:space="preserve"> </w:t>
      </w:r>
      <w:r w:rsidR="002B3441">
        <w:rPr>
          <w:rFonts w:ascii="Bookman Old Style" w:hAnsi="Bookman Old Style" w:cs="Arial"/>
          <w:sz w:val="28"/>
          <w:szCs w:val="28"/>
          <w:lang w:val="el-GR"/>
        </w:rPr>
        <w:t xml:space="preserve">ο </w:t>
      </w:r>
      <w:r w:rsidR="002B3441" w:rsidRPr="002B3441">
        <w:rPr>
          <w:rFonts w:ascii="Bookman Old Style" w:hAnsi="Bookman Old Style" w:cs="Arial"/>
          <w:b/>
          <w:bCs/>
          <w:sz w:val="28"/>
          <w:szCs w:val="28"/>
          <w:lang w:val="el-GR"/>
        </w:rPr>
        <w:t>1</w:t>
      </w:r>
      <w:r w:rsidR="002B3441" w:rsidRPr="002B3441">
        <w:rPr>
          <w:rFonts w:ascii="Bookman Old Style" w:hAnsi="Bookman Old Style" w:cs="Arial"/>
          <w:b/>
          <w:bCs/>
          <w:sz w:val="28"/>
          <w:szCs w:val="28"/>
          <w:vertAlign w:val="superscript"/>
          <w:lang w:val="el-GR"/>
        </w:rPr>
        <w:t>ος</w:t>
      </w:r>
      <w:r w:rsidR="002B3441" w:rsidRPr="002B3441">
        <w:rPr>
          <w:rFonts w:ascii="Bookman Old Style" w:hAnsi="Bookman Old Style" w:cs="Arial"/>
          <w:b/>
          <w:bCs/>
          <w:sz w:val="28"/>
          <w:szCs w:val="28"/>
          <w:lang w:val="el-GR"/>
        </w:rPr>
        <w:t xml:space="preserve"> Λόγος Έφεσης</w:t>
      </w:r>
      <w:r w:rsidR="002B3441">
        <w:rPr>
          <w:rFonts w:ascii="Bookman Old Style" w:hAnsi="Bookman Old Style" w:cs="Arial"/>
          <w:sz w:val="28"/>
          <w:szCs w:val="28"/>
          <w:lang w:val="el-GR"/>
        </w:rPr>
        <w:t xml:space="preserve"> απορρίπτεται.</w:t>
      </w:r>
    </w:p>
    <w:p w14:paraId="5815E95C" w14:textId="483A3B59" w:rsidR="00AA5174" w:rsidRDefault="00AA5174"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sidRPr="00AA5174">
        <w:rPr>
          <w:rFonts w:ascii="Bookman Old Style" w:hAnsi="Bookman Old Style" w:cs="Arial"/>
          <w:b/>
          <w:bCs/>
          <w:sz w:val="28"/>
          <w:szCs w:val="28"/>
          <w:lang w:val="el-GR"/>
        </w:rPr>
        <w:t>2</w:t>
      </w:r>
      <w:r w:rsidRPr="00AA5174">
        <w:rPr>
          <w:rFonts w:ascii="Bookman Old Style" w:hAnsi="Bookman Old Style" w:cs="Arial"/>
          <w:b/>
          <w:bCs/>
          <w:sz w:val="28"/>
          <w:szCs w:val="28"/>
          <w:vertAlign w:val="superscript"/>
          <w:lang w:val="el-GR"/>
        </w:rPr>
        <w:t>ου</w:t>
      </w:r>
      <w:r w:rsidRPr="00AA5174">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ο Εφεσείων παραπονείται ότι, μολονότι το πρωτόδικο Δικαστήριο έκρινε ορθώς ότι οι προσκομισθείσες εγγυήσεις της Ρωσικής Ομοσπονδίας δεν μπορούσαν να γίνουν αποδεκτές, εντούτοις απέρριψε την Αίτηση.</w:t>
      </w:r>
    </w:p>
    <w:p w14:paraId="415CE2DD" w14:textId="77777777" w:rsidR="00AA5174" w:rsidRDefault="00AA5174" w:rsidP="00963265">
      <w:pPr>
        <w:spacing w:line="480" w:lineRule="auto"/>
        <w:ind w:right="-35"/>
        <w:jc w:val="both"/>
        <w:rPr>
          <w:rFonts w:ascii="Bookman Old Style" w:hAnsi="Bookman Old Style" w:cs="Arial"/>
          <w:sz w:val="28"/>
          <w:szCs w:val="28"/>
          <w:lang w:val="el-GR"/>
        </w:rPr>
      </w:pPr>
    </w:p>
    <w:p w14:paraId="51F454EF" w14:textId="28123768" w:rsidR="00AA5174" w:rsidRDefault="00AA5174"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w:t>
      </w:r>
      <w:r w:rsidR="00E573BA">
        <w:rPr>
          <w:rFonts w:ascii="Bookman Old Style" w:hAnsi="Bookman Old Style" w:cs="Arial"/>
          <w:sz w:val="28"/>
          <w:szCs w:val="28"/>
          <w:lang w:val="el-GR"/>
        </w:rPr>
        <w:t xml:space="preserve">με παραπομπή στην απόφαση της Ολομέλειας στην υπόθεση </w:t>
      </w:r>
      <w:r w:rsidR="00E573BA" w:rsidRPr="00011CB2">
        <w:rPr>
          <w:rFonts w:ascii="Bookman Old Style" w:hAnsi="Bookman Old Style" w:cs="Arial"/>
          <w:b/>
          <w:bCs/>
          <w:i/>
          <w:iCs/>
          <w:sz w:val="28"/>
          <w:szCs w:val="28"/>
          <w:lang w:val="el-GR"/>
        </w:rPr>
        <w:t>Αίτηση για έκδοση του</w:t>
      </w:r>
      <w:r w:rsidR="00E573BA">
        <w:rPr>
          <w:rFonts w:ascii="Bookman Old Style" w:hAnsi="Bookman Old Style" w:cs="Arial"/>
          <w:sz w:val="28"/>
          <w:szCs w:val="28"/>
          <w:lang w:val="el-GR"/>
        </w:rPr>
        <w:t xml:space="preserve"> </w:t>
      </w:r>
      <w:r w:rsidR="00E573BA" w:rsidRPr="00E573BA">
        <w:rPr>
          <w:rFonts w:ascii="Bookman Old Style" w:hAnsi="Bookman Old Style" w:cs="Arial"/>
          <w:b/>
          <w:bCs/>
          <w:i/>
          <w:iCs/>
          <w:sz w:val="28"/>
          <w:szCs w:val="28"/>
          <w:lang w:val="en-US"/>
        </w:rPr>
        <w:t>DAA</w:t>
      </w:r>
      <w:r w:rsidR="00E573BA" w:rsidRPr="00E573BA">
        <w:rPr>
          <w:rFonts w:ascii="Bookman Old Style" w:hAnsi="Bookman Old Style" w:cs="Arial"/>
          <w:b/>
          <w:bCs/>
          <w:i/>
          <w:iCs/>
          <w:sz w:val="28"/>
          <w:szCs w:val="28"/>
          <w:lang w:val="el-GR"/>
        </w:rPr>
        <w:t xml:space="preserve"> </w:t>
      </w:r>
      <w:r w:rsidR="00E573BA" w:rsidRPr="00E573BA">
        <w:rPr>
          <w:rFonts w:ascii="Bookman Old Style" w:hAnsi="Bookman Old Style" w:cs="Arial"/>
          <w:b/>
          <w:bCs/>
          <w:i/>
          <w:iCs/>
          <w:sz w:val="28"/>
          <w:szCs w:val="28"/>
          <w:lang w:val="en-US"/>
        </w:rPr>
        <w:t>v</w:t>
      </w:r>
      <w:r w:rsidR="00E573BA" w:rsidRPr="00E573BA">
        <w:rPr>
          <w:rFonts w:ascii="Bookman Old Style" w:hAnsi="Bookman Old Style" w:cs="Arial"/>
          <w:b/>
          <w:bCs/>
          <w:i/>
          <w:iCs/>
          <w:sz w:val="28"/>
          <w:szCs w:val="28"/>
          <w:lang w:val="el-GR"/>
        </w:rPr>
        <w:t xml:space="preserve">. Κυπριακής Δημοκρατίας, Πολιτική Έφεση </w:t>
      </w:r>
      <w:r w:rsidR="00592479">
        <w:rPr>
          <w:rFonts w:ascii="Bookman Old Style" w:hAnsi="Bookman Old Style" w:cs="Arial"/>
          <w:b/>
          <w:bCs/>
          <w:i/>
          <w:iCs/>
          <w:sz w:val="28"/>
          <w:szCs w:val="28"/>
          <w:lang w:val="en-US"/>
        </w:rPr>
        <w:t>A</w:t>
      </w:r>
      <w:r w:rsidR="00E573BA" w:rsidRPr="00E573BA">
        <w:rPr>
          <w:rFonts w:ascii="Bookman Old Style" w:hAnsi="Bookman Old Style" w:cs="Arial"/>
          <w:b/>
          <w:bCs/>
          <w:i/>
          <w:iCs/>
          <w:sz w:val="28"/>
          <w:szCs w:val="28"/>
          <w:lang w:val="el-GR"/>
        </w:rPr>
        <w:t>ρ. 214/2021, ημερ. 8/7/2022</w:t>
      </w:r>
      <w:r w:rsidR="00592479" w:rsidRPr="00592479">
        <w:rPr>
          <w:rFonts w:ascii="Bookman Old Style" w:hAnsi="Bookman Old Style" w:cs="Arial"/>
          <w:sz w:val="28"/>
          <w:szCs w:val="28"/>
          <w:lang w:val="el-GR"/>
        </w:rPr>
        <w:t>,</w:t>
      </w:r>
      <w:r w:rsidR="00E573BA">
        <w:rPr>
          <w:rFonts w:ascii="Bookman Old Style" w:hAnsi="Bookman Old Style" w:cs="Arial"/>
          <w:sz w:val="28"/>
          <w:szCs w:val="28"/>
          <w:lang w:val="el-GR"/>
        </w:rPr>
        <w:t xml:space="preserve"> όπου κρίθηκε ότι η παραχώρηση εγγυήσεων από τη Ρωσική Ομοσπονδία για τη διεξαγωγή δίκαιης δίκης με βάση την ΕΣΔΑ, δεν θα μπορούσε</w:t>
      </w:r>
      <w:r w:rsidR="00011CB2">
        <w:rPr>
          <w:rFonts w:ascii="Bookman Old Style" w:hAnsi="Bookman Old Style" w:cs="Arial"/>
          <w:sz w:val="28"/>
          <w:szCs w:val="28"/>
          <w:lang w:val="el-GR"/>
        </w:rPr>
        <w:t>,</w:t>
      </w:r>
      <w:r w:rsidR="00E573BA">
        <w:rPr>
          <w:rFonts w:ascii="Bookman Old Style" w:hAnsi="Bookman Old Style" w:cs="Arial"/>
          <w:sz w:val="28"/>
          <w:szCs w:val="28"/>
          <w:lang w:val="el-GR"/>
        </w:rPr>
        <w:t xml:space="preserve"> πλέον</w:t>
      </w:r>
      <w:r w:rsidR="00011CB2">
        <w:rPr>
          <w:rFonts w:ascii="Bookman Old Style" w:hAnsi="Bookman Old Style" w:cs="Arial"/>
          <w:sz w:val="28"/>
          <w:szCs w:val="28"/>
          <w:lang w:val="el-GR"/>
        </w:rPr>
        <w:t>,</w:t>
      </w:r>
      <w:r w:rsidR="00E573BA">
        <w:rPr>
          <w:rFonts w:ascii="Bookman Old Style" w:hAnsi="Bookman Old Style" w:cs="Arial"/>
          <w:sz w:val="28"/>
          <w:szCs w:val="28"/>
          <w:lang w:val="el-GR"/>
        </w:rPr>
        <w:t xml:space="preserve"> να θεωρηθεί επαρκής ενόψει </w:t>
      </w:r>
      <w:r w:rsidR="00011CB2">
        <w:rPr>
          <w:rFonts w:ascii="Bookman Old Style" w:hAnsi="Bookman Old Style" w:cs="Arial"/>
          <w:sz w:val="28"/>
          <w:szCs w:val="28"/>
          <w:lang w:val="el-GR"/>
        </w:rPr>
        <w:t>του γεγονότος ότι η Ρωσική Ομοσπονδία έπαυσε να αποτελεί μέλος της ΕΣΔΑ και οι πολίτες της δεν έχουν πρόσβαση στο ΕΔΔΑ, αναγνώρισε και ορθώς</w:t>
      </w:r>
      <w:r w:rsidR="00B26DF6">
        <w:rPr>
          <w:rFonts w:ascii="Bookman Old Style" w:hAnsi="Bookman Old Style" w:cs="Arial"/>
          <w:sz w:val="28"/>
          <w:szCs w:val="28"/>
          <w:lang w:val="el-GR"/>
        </w:rPr>
        <w:t>,</w:t>
      </w:r>
      <w:r w:rsidR="00011CB2">
        <w:rPr>
          <w:rFonts w:ascii="Bookman Old Style" w:hAnsi="Bookman Old Style" w:cs="Arial"/>
          <w:sz w:val="28"/>
          <w:szCs w:val="28"/>
          <w:lang w:val="el-GR"/>
        </w:rPr>
        <w:t xml:space="preserve"> ότι οι όποιες διαβεβαιώσεις από τη χώρα αυτή δεν θα μπορούσαν να θεωρηθούν ως ικανοποιητικές.</w:t>
      </w:r>
    </w:p>
    <w:p w14:paraId="7F920DDB" w14:textId="77777777" w:rsidR="007066FF" w:rsidRDefault="007066FF" w:rsidP="00963265">
      <w:pPr>
        <w:spacing w:line="480" w:lineRule="auto"/>
        <w:ind w:right="-35"/>
        <w:jc w:val="both"/>
        <w:rPr>
          <w:rFonts w:ascii="Bookman Old Style" w:hAnsi="Bookman Old Style" w:cs="Arial"/>
          <w:sz w:val="28"/>
          <w:szCs w:val="28"/>
          <w:lang w:val="el-GR"/>
        </w:rPr>
      </w:pPr>
    </w:p>
    <w:p w14:paraId="7A0E5615" w14:textId="22A7A50B" w:rsidR="007066FF" w:rsidRDefault="007066FF"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Έκρινε,</w:t>
      </w:r>
      <w:r w:rsidR="00306623">
        <w:rPr>
          <w:rFonts w:ascii="Bookman Old Style" w:hAnsi="Bookman Old Style" w:cs="Arial"/>
          <w:sz w:val="28"/>
          <w:szCs w:val="28"/>
          <w:lang w:val="el-GR"/>
        </w:rPr>
        <w:t xml:space="preserve"> </w:t>
      </w:r>
      <w:r>
        <w:rPr>
          <w:rFonts w:ascii="Bookman Old Style" w:hAnsi="Bookman Old Style" w:cs="Arial"/>
          <w:sz w:val="28"/>
          <w:szCs w:val="28"/>
          <w:lang w:val="el-GR"/>
        </w:rPr>
        <w:t>ωστόσο, στη συνέχεια ότι το ζήτημα δεν τελείωνε</w:t>
      </w:r>
      <w:r w:rsidR="00306623">
        <w:rPr>
          <w:rFonts w:ascii="Bookman Old Style" w:hAnsi="Bookman Old Style" w:cs="Arial"/>
          <w:sz w:val="28"/>
          <w:szCs w:val="28"/>
          <w:lang w:val="el-GR"/>
        </w:rPr>
        <w:t xml:space="preserve"> με την πιο πάνω επισήμανση αφού ο </w:t>
      </w:r>
      <w:r w:rsidR="004868B3">
        <w:rPr>
          <w:rFonts w:ascii="Bookman Old Style" w:hAnsi="Bookman Old Style" w:cs="Arial"/>
          <w:sz w:val="28"/>
          <w:szCs w:val="28"/>
          <w:lang w:val="el-GR"/>
        </w:rPr>
        <w:t>Ε</w:t>
      </w:r>
      <w:r w:rsidR="00306623">
        <w:rPr>
          <w:rFonts w:ascii="Bookman Old Style" w:hAnsi="Bookman Old Style" w:cs="Arial"/>
          <w:sz w:val="28"/>
          <w:szCs w:val="28"/>
          <w:lang w:val="el-GR"/>
        </w:rPr>
        <w:t>κζητούμενος έχει το βάρος να αποδείξει ότι υπάρχουν βάσιμοι λόγοι να πιστεύεται ότι θα υποστεί βασανιστήρια ή κακομεταχείριση ή δεν θα τύχει δίκαιης δίκης ή ότι, γενικά, θα καταπατηθούν τα ανθρώπινα δικαιώματα του.</w:t>
      </w:r>
    </w:p>
    <w:p w14:paraId="1D58A0E0" w14:textId="77777777" w:rsidR="00F5337A" w:rsidRDefault="00F5337A" w:rsidP="00963265">
      <w:pPr>
        <w:spacing w:line="480" w:lineRule="auto"/>
        <w:ind w:right="-35"/>
        <w:jc w:val="both"/>
        <w:rPr>
          <w:rFonts w:ascii="Bookman Old Style" w:hAnsi="Bookman Old Style" w:cs="Arial"/>
          <w:sz w:val="28"/>
          <w:szCs w:val="28"/>
          <w:lang w:val="el-GR"/>
        </w:rPr>
      </w:pPr>
    </w:p>
    <w:p w14:paraId="31BE5163" w14:textId="55FB471B" w:rsidR="00F5337A" w:rsidRPr="00F5337A" w:rsidRDefault="00F5337A" w:rsidP="00963265">
      <w:pPr>
        <w:spacing w:line="480" w:lineRule="auto"/>
        <w:ind w:right="-35"/>
        <w:jc w:val="both"/>
        <w:rPr>
          <w:rFonts w:ascii="Bookman Old Style" w:hAnsi="Bookman Old Style" w:cs="Arial"/>
          <w:sz w:val="28"/>
          <w:szCs w:val="28"/>
          <w:lang w:val="el-GR"/>
        </w:rPr>
      </w:pPr>
      <w:r w:rsidRPr="00F5337A">
        <w:rPr>
          <w:rFonts w:ascii="Bookman Old Style" w:hAnsi="Bookman Old Style" w:cs="Arial"/>
          <w:color w:val="000000"/>
          <w:sz w:val="28"/>
          <w:szCs w:val="28"/>
          <w:lang w:val="el-GR"/>
        </w:rPr>
        <w:t>Δεν πρέπει να λησμονείται ότι σε δικαστική διαδικασία αυτής της μορφής, ήτοι έκδοσης, επιβάλλεται η κατάθεση μαρτυρίας και η υποχρέωση βαρύνει τον αιτητή, τ</w:t>
      </w:r>
      <w:r>
        <w:rPr>
          <w:rFonts w:ascii="Bookman Old Style" w:hAnsi="Bookman Old Style" w:cs="Arial"/>
          <w:color w:val="000000"/>
          <w:sz w:val="28"/>
          <w:szCs w:val="28"/>
          <w:lang w:val="en-US"/>
        </w:rPr>
        <w:t>o</w:t>
      </w:r>
      <w:r w:rsidRPr="00F5337A">
        <w:rPr>
          <w:rFonts w:ascii="Bookman Old Style" w:hAnsi="Bookman Old Style" w:cs="Arial"/>
          <w:color w:val="000000"/>
          <w:sz w:val="28"/>
          <w:szCs w:val="28"/>
          <w:lang w:val="el-GR"/>
        </w:rPr>
        <w:t>ν Εφεσεί</w:t>
      </w:r>
      <w:r w:rsidR="004868B3">
        <w:rPr>
          <w:rFonts w:ascii="Bookman Old Style" w:hAnsi="Bookman Old Style" w:cs="Arial"/>
          <w:color w:val="000000"/>
          <w:sz w:val="28"/>
          <w:szCs w:val="28"/>
          <w:lang w:val="el-GR"/>
        </w:rPr>
        <w:t>ο</w:t>
      </w:r>
      <w:r>
        <w:rPr>
          <w:rFonts w:ascii="Bookman Old Style" w:hAnsi="Bookman Old Style" w:cs="Arial"/>
          <w:color w:val="000000"/>
          <w:sz w:val="28"/>
          <w:szCs w:val="28"/>
          <w:lang w:val="el-GR"/>
        </w:rPr>
        <w:t>ν</w:t>
      </w:r>
      <w:r w:rsidR="004868B3">
        <w:rPr>
          <w:rFonts w:ascii="Bookman Old Style" w:hAnsi="Bookman Old Style" w:cs="Arial"/>
          <w:color w:val="000000"/>
          <w:sz w:val="28"/>
          <w:szCs w:val="28"/>
          <w:lang w:val="el-GR"/>
        </w:rPr>
        <w:t>τα</w:t>
      </w:r>
      <w:r w:rsidRPr="00F5337A">
        <w:rPr>
          <w:rFonts w:ascii="Bookman Old Style" w:hAnsi="Bookman Old Style" w:cs="Arial"/>
          <w:color w:val="000000"/>
          <w:sz w:val="28"/>
          <w:szCs w:val="28"/>
          <w:lang w:val="el-GR"/>
        </w:rPr>
        <w:t xml:space="preserve"> εν προκειμένω, να αποδείξει ότι υφίστανται βάσιμοι λόγοι να πιστεύεται πως, σε περίπτωση έκδοσης τ</w:t>
      </w:r>
      <w:r>
        <w:rPr>
          <w:rFonts w:ascii="Bookman Old Style" w:hAnsi="Bookman Old Style" w:cs="Arial"/>
          <w:color w:val="000000"/>
          <w:sz w:val="28"/>
          <w:szCs w:val="28"/>
          <w:lang w:val="el-GR"/>
        </w:rPr>
        <w:t>ου</w:t>
      </w:r>
      <w:r w:rsidRPr="00F5337A">
        <w:rPr>
          <w:rFonts w:ascii="Bookman Old Style" w:hAnsi="Bookman Old Style" w:cs="Arial"/>
          <w:color w:val="000000"/>
          <w:sz w:val="28"/>
          <w:szCs w:val="28"/>
          <w:lang w:val="el-GR"/>
        </w:rPr>
        <w:t>, θα εκτεθεί σε πραγματικό κίνδυνο παραβίασης των ανθρωπίνων δικαιωμάτων τ</w:t>
      </w:r>
      <w:r>
        <w:rPr>
          <w:rFonts w:ascii="Bookman Old Style" w:hAnsi="Bookman Old Style" w:cs="Arial"/>
          <w:color w:val="000000"/>
          <w:sz w:val="28"/>
          <w:szCs w:val="28"/>
          <w:lang w:val="el-GR"/>
        </w:rPr>
        <w:t>ου</w:t>
      </w:r>
      <w:r w:rsidRPr="00F5337A">
        <w:rPr>
          <w:rFonts w:ascii="Bookman Old Style" w:hAnsi="Bookman Old Style" w:cs="Arial"/>
          <w:color w:val="000000"/>
          <w:sz w:val="28"/>
          <w:szCs w:val="28"/>
          <w:lang w:val="el-GR"/>
        </w:rPr>
        <w:t>.</w:t>
      </w:r>
    </w:p>
    <w:p w14:paraId="5BBA2C2D" w14:textId="77777777" w:rsidR="00306623" w:rsidRPr="00306623" w:rsidRDefault="00306623" w:rsidP="00306623">
      <w:pPr>
        <w:spacing w:line="480" w:lineRule="auto"/>
        <w:ind w:right="-35"/>
        <w:jc w:val="both"/>
        <w:rPr>
          <w:rFonts w:ascii="Bookman Old Style" w:hAnsi="Bookman Old Style" w:cs="Arial"/>
          <w:sz w:val="28"/>
          <w:szCs w:val="28"/>
          <w:lang w:val="el-GR"/>
        </w:rPr>
      </w:pPr>
    </w:p>
    <w:p w14:paraId="25F0FDC2" w14:textId="69AEC1C9" w:rsidR="00306623" w:rsidRDefault="00306623" w:rsidP="00306623">
      <w:pPr>
        <w:spacing w:line="480" w:lineRule="auto"/>
        <w:jc w:val="both"/>
        <w:rPr>
          <w:rFonts w:ascii="Bookman Old Style" w:hAnsi="Bookman Old Style" w:cs="Arial"/>
          <w:color w:val="000000"/>
          <w:sz w:val="28"/>
          <w:szCs w:val="28"/>
          <w:lang w:val="el-GR"/>
        </w:rPr>
      </w:pPr>
      <w:r w:rsidRPr="00306623">
        <w:rPr>
          <w:rFonts w:ascii="Bookman Old Style" w:hAnsi="Bookman Old Style" w:cs="Arial"/>
          <w:color w:val="000000"/>
          <w:sz w:val="28"/>
          <w:szCs w:val="28"/>
          <w:lang w:val="el-GR"/>
        </w:rPr>
        <w:t xml:space="preserve">Όπως επισημάνθηκε στην υπόθεση της Ολομέλειας </w:t>
      </w:r>
      <w:r w:rsidRPr="00306623">
        <w:rPr>
          <w:rFonts w:ascii="Bookman Old Style" w:hAnsi="Bookman Old Style" w:cs="Arial"/>
          <w:b/>
          <w:bCs/>
          <w:i/>
          <w:iCs/>
          <w:color w:val="000000"/>
          <w:sz w:val="28"/>
          <w:szCs w:val="28"/>
          <w:lang w:val="el-GR"/>
        </w:rPr>
        <w:t xml:space="preserve">Αναφορικά με την Αίτηση της Ν.Κ., Πολιτική Έφεση </w:t>
      </w:r>
      <w:r w:rsidR="00592479">
        <w:rPr>
          <w:rFonts w:ascii="Bookman Old Style" w:hAnsi="Bookman Old Style" w:cs="Arial"/>
          <w:b/>
          <w:bCs/>
          <w:i/>
          <w:iCs/>
          <w:color w:val="000000"/>
          <w:sz w:val="28"/>
          <w:szCs w:val="28"/>
          <w:lang w:val="en-US"/>
        </w:rPr>
        <w:t>A</w:t>
      </w:r>
      <w:r w:rsidRPr="00306623">
        <w:rPr>
          <w:rFonts w:ascii="Bookman Old Style" w:hAnsi="Bookman Old Style" w:cs="Arial"/>
          <w:b/>
          <w:bCs/>
          <w:i/>
          <w:iCs/>
          <w:color w:val="000000"/>
          <w:sz w:val="28"/>
          <w:szCs w:val="28"/>
          <w:lang w:val="el-GR"/>
        </w:rPr>
        <w:t>ρ. 231/2020, ημερ. 14/6/2022</w:t>
      </w:r>
      <w:r w:rsidRPr="00306623">
        <w:rPr>
          <w:rFonts w:ascii="Bookman Old Style" w:hAnsi="Bookman Old Style" w:cs="Arial"/>
          <w:color w:val="000000"/>
          <w:sz w:val="28"/>
          <w:szCs w:val="28"/>
          <w:lang w:val="el-GR"/>
        </w:rPr>
        <w:t>, το</w:t>
      </w:r>
      <w:r w:rsidR="00592479" w:rsidRPr="00592479">
        <w:rPr>
          <w:rFonts w:ascii="Bookman Old Style" w:hAnsi="Bookman Old Style" w:cs="Arial"/>
          <w:color w:val="000000"/>
          <w:sz w:val="28"/>
          <w:szCs w:val="28"/>
          <w:lang w:val="el-GR"/>
        </w:rPr>
        <w:t xml:space="preserve"> </w:t>
      </w:r>
      <w:r w:rsidR="00592479">
        <w:rPr>
          <w:rFonts w:ascii="Bookman Old Style" w:hAnsi="Bookman Old Style" w:cs="Arial"/>
          <w:b/>
          <w:bCs/>
          <w:i/>
          <w:iCs/>
          <w:color w:val="000000"/>
          <w:sz w:val="28"/>
          <w:szCs w:val="28"/>
          <w:lang w:val="el-GR"/>
        </w:rPr>
        <w:t>Άρθρο 3</w:t>
      </w:r>
      <w:r w:rsidR="00CC1C53">
        <w:rPr>
          <w:rFonts w:ascii="Bookman Old Style" w:hAnsi="Bookman Old Style" w:cs="Arial"/>
          <w:color w:val="000000"/>
          <w:sz w:val="28"/>
          <w:szCs w:val="28"/>
          <w:lang w:val="el-GR"/>
        </w:rPr>
        <w:t xml:space="preserve"> της </w:t>
      </w:r>
      <w:r w:rsidR="00CC1C53">
        <w:rPr>
          <w:rFonts w:ascii="Bookman Old Style" w:hAnsi="Bookman Old Style" w:cs="Arial"/>
          <w:b/>
          <w:bCs/>
          <w:i/>
          <w:iCs/>
          <w:color w:val="000000"/>
          <w:sz w:val="28"/>
          <w:szCs w:val="28"/>
          <w:lang w:val="el-GR"/>
        </w:rPr>
        <w:t>ΕΣΔΑ</w:t>
      </w:r>
      <w:r w:rsidR="00CC1C53">
        <w:rPr>
          <w:rFonts w:ascii="Bookman Old Style" w:hAnsi="Bookman Old Style" w:cs="Arial"/>
          <w:color w:val="000000"/>
          <w:sz w:val="28"/>
          <w:szCs w:val="28"/>
          <w:lang w:val="el-GR"/>
        </w:rPr>
        <w:t xml:space="preserve"> απαγορεύει, </w:t>
      </w:r>
      <w:r w:rsidRPr="00306623">
        <w:rPr>
          <w:rFonts w:ascii="Bookman Old Style" w:hAnsi="Bookman Old Style" w:cs="Arial"/>
          <w:color w:val="000000"/>
          <w:sz w:val="28"/>
          <w:szCs w:val="28"/>
          <w:lang w:val="el-GR"/>
        </w:rPr>
        <w:t>ουσιαστικά, τη διαμεταγωγή προσώπου σε χώρα στην οποία υπάρχουν βάσιμοι λόγοι να πιστεύεται ότι θα υποστεί βασανιστήρια ή κακομεταχείριση. Το βάρος απόδειξης του κινδύνου αυτού φέρει το εκζητούμενο πρόσωπο</w:t>
      </w:r>
      <w:r w:rsidRPr="00306623">
        <w:rPr>
          <w:rFonts w:ascii="Bookman Old Style" w:hAnsi="Bookman Old Style" w:cs="Arial"/>
          <w:color w:val="000000"/>
          <w:lang w:val="el-GR"/>
        </w:rPr>
        <w:t> </w:t>
      </w:r>
      <w:r w:rsidRPr="00306623">
        <w:rPr>
          <w:rFonts w:ascii="Bookman Old Style" w:hAnsi="Bookman Old Style" w:cs="Arial"/>
          <w:color w:val="000000"/>
          <w:sz w:val="28"/>
          <w:szCs w:val="28"/>
          <w:lang w:val="el-GR"/>
        </w:rPr>
        <w:t>(</w:t>
      </w:r>
      <w:r w:rsidRPr="00306623">
        <w:rPr>
          <w:rFonts w:ascii="Bookman Old Style" w:hAnsi="Bookman Old Style" w:cs="Arial"/>
          <w:b/>
          <w:bCs/>
          <w:i/>
          <w:iCs/>
          <w:color w:val="000000"/>
          <w:sz w:val="28"/>
          <w:szCs w:val="28"/>
          <w:lang w:val="el-GR"/>
        </w:rPr>
        <w:t>Saadi v. Italy</w:t>
      </w:r>
      <w:r w:rsidR="00CC1C53">
        <w:rPr>
          <w:rFonts w:ascii="Bookman Old Style" w:hAnsi="Bookman Old Style" w:cs="Arial"/>
          <w:b/>
          <w:bCs/>
          <w:i/>
          <w:iCs/>
          <w:color w:val="000000"/>
          <w:sz w:val="28"/>
          <w:szCs w:val="28"/>
          <w:lang w:val="el-GR"/>
        </w:rPr>
        <w:t xml:space="preserve"> [2009] 49</w:t>
      </w:r>
      <w:r w:rsidR="00CC1C53" w:rsidRPr="00CC1C53">
        <w:rPr>
          <w:rFonts w:ascii="Bookman Old Style" w:hAnsi="Bookman Old Style" w:cs="Arial"/>
          <w:b/>
          <w:bCs/>
          <w:i/>
          <w:iCs/>
          <w:color w:val="000000"/>
          <w:sz w:val="28"/>
          <w:szCs w:val="28"/>
          <w:lang w:val="el-GR"/>
        </w:rPr>
        <w:t xml:space="preserve"> </w:t>
      </w:r>
      <w:r w:rsidR="00CC1C53">
        <w:rPr>
          <w:rFonts w:ascii="Bookman Old Style" w:hAnsi="Bookman Old Style" w:cs="Arial"/>
          <w:b/>
          <w:bCs/>
          <w:i/>
          <w:iCs/>
          <w:color w:val="000000"/>
          <w:sz w:val="28"/>
          <w:szCs w:val="28"/>
          <w:lang w:val="en-US"/>
        </w:rPr>
        <w:t>EHRR</w:t>
      </w:r>
      <w:r w:rsidR="00CC1C53" w:rsidRPr="00CC1C53">
        <w:rPr>
          <w:rFonts w:ascii="Bookman Old Style" w:hAnsi="Bookman Old Style" w:cs="Arial"/>
          <w:b/>
          <w:bCs/>
          <w:i/>
          <w:iCs/>
          <w:color w:val="000000"/>
          <w:sz w:val="28"/>
          <w:szCs w:val="28"/>
          <w:lang w:val="el-GR"/>
        </w:rPr>
        <w:t xml:space="preserve"> 30</w:t>
      </w:r>
      <w:r w:rsidRPr="00306623">
        <w:rPr>
          <w:rFonts w:ascii="Bookman Old Style" w:hAnsi="Bookman Old Style" w:cs="Arial"/>
          <w:b/>
          <w:bCs/>
          <w:color w:val="000000"/>
          <w:sz w:val="28"/>
          <w:szCs w:val="28"/>
          <w:lang w:val="el-GR"/>
        </w:rPr>
        <w:t> </w:t>
      </w:r>
      <w:r w:rsidRPr="00306623">
        <w:rPr>
          <w:rFonts w:ascii="Bookman Old Style" w:hAnsi="Bookman Old Style" w:cs="Arial"/>
          <w:color w:val="000000"/>
          <w:sz w:val="28"/>
          <w:szCs w:val="28"/>
          <w:lang w:val="el-GR"/>
        </w:rPr>
        <w:t xml:space="preserve">και </w:t>
      </w:r>
      <w:r w:rsidRPr="00306623">
        <w:rPr>
          <w:rFonts w:ascii="Bookman Old Style" w:hAnsi="Bookman Old Style" w:cs="Arial"/>
          <w:b/>
          <w:bCs/>
          <w:i/>
          <w:iCs/>
          <w:color w:val="000000"/>
          <w:sz w:val="28"/>
          <w:szCs w:val="28"/>
          <w:lang w:val="el-GR"/>
        </w:rPr>
        <w:t xml:space="preserve">R v. Special Adjudicator ex p </w:t>
      </w:r>
      <w:r w:rsidRPr="006B0D62">
        <w:rPr>
          <w:rFonts w:ascii="Bookman Old Style" w:hAnsi="Bookman Old Style" w:cs="Arial"/>
          <w:b/>
          <w:bCs/>
          <w:i/>
          <w:iCs/>
          <w:color w:val="000000"/>
          <w:sz w:val="28"/>
          <w:szCs w:val="28"/>
          <w:lang w:val="el-GR"/>
        </w:rPr>
        <w:t>Ullah</w:t>
      </w:r>
      <w:r w:rsidRPr="00306623">
        <w:rPr>
          <w:rFonts w:ascii="Bookman Old Style" w:hAnsi="Bookman Old Style" w:cs="Arial"/>
          <w:b/>
          <w:bCs/>
          <w:color w:val="000000"/>
          <w:sz w:val="28"/>
          <w:szCs w:val="28"/>
          <w:lang w:val="el-GR"/>
        </w:rPr>
        <w:t> </w:t>
      </w:r>
      <w:r w:rsidRPr="00306623">
        <w:rPr>
          <w:rFonts w:ascii="Bookman Old Style" w:hAnsi="Bookman Old Style" w:cs="Arial"/>
          <w:b/>
          <w:bCs/>
          <w:i/>
          <w:iCs/>
          <w:color w:val="000000"/>
          <w:sz w:val="28"/>
          <w:szCs w:val="28"/>
          <w:lang w:val="el-GR"/>
        </w:rPr>
        <w:t>[2004] UKHL 26</w:t>
      </w:r>
      <w:r w:rsidRPr="00306623">
        <w:rPr>
          <w:rFonts w:ascii="Bookman Old Style" w:hAnsi="Bookman Old Style" w:cs="Arial"/>
          <w:color w:val="000000"/>
          <w:sz w:val="28"/>
          <w:szCs w:val="28"/>
          <w:lang w:val="el-GR"/>
        </w:rPr>
        <w:t>). Ο προβλεπτός κίνδυνος καταδεικνύεται με μαρτυρία από την οποία προκύπτουν συγκεκριμένα στοιχεία, στη βάση των οποίων μπορεί εύλογα να καταλήξει κάποιος ότι ο κίνδυνος είναι ορατός και πραγματικός και όχι απλώς μια απλή δυνατότητα, η έλευση της οποίας δεν μπορεί να προεξοφληθεί.</w:t>
      </w:r>
    </w:p>
    <w:p w14:paraId="218844C4" w14:textId="77777777" w:rsidR="00D61FF9" w:rsidRPr="00D61FF9" w:rsidRDefault="00D61FF9" w:rsidP="00306623">
      <w:pPr>
        <w:spacing w:line="480" w:lineRule="auto"/>
        <w:jc w:val="both"/>
        <w:rPr>
          <w:rFonts w:ascii="Bookman Old Style" w:hAnsi="Bookman Old Style" w:cs="Calibri"/>
          <w:color w:val="000000"/>
          <w:sz w:val="22"/>
          <w:szCs w:val="22"/>
          <w:lang w:val="el-GR"/>
        </w:rPr>
      </w:pPr>
    </w:p>
    <w:p w14:paraId="286A0C79" w14:textId="4935414A" w:rsidR="00306623" w:rsidRDefault="00306623" w:rsidP="00306623">
      <w:pPr>
        <w:spacing w:line="480" w:lineRule="auto"/>
        <w:jc w:val="both"/>
        <w:rPr>
          <w:rFonts w:ascii="Bookman Old Style" w:hAnsi="Bookman Old Style" w:cs="Arial"/>
          <w:color w:val="000000"/>
          <w:sz w:val="28"/>
          <w:szCs w:val="28"/>
          <w:lang w:val="en-US"/>
        </w:rPr>
      </w:pPr>
      <w:r w:rsidRPr="00306623">
        <w:rPr>
          <w:rFonts w:ascii="Bookman Old Style" w:hAnsi="Bookman Old Style" w:cs="Arial"/>
          <w:color w:val="000000"/>
          <w:sz w:val="28"/>
          <w:szCs w:val="28"/>
          <w:lang w:val="el-GR"/>
        </w:rPr>
        <w:t>Όπως</w:t>
      </w:r>
      <w:r w:rsidRPr="00306623">
        <w:rPr>
          <w:rFonts w:ascii="Bookman Old Style" w:hAnsi="Bookman Old Style" w:cs="Arial"/>
          <w:color w:val="000000"/>
          <w:sz w:val="28"/>
          <w:szCs w:val="28"/>
          <w:lang w:val="en-US"/>
        </w:rPr>
        <w:t> </w:t>
      </w:r>
      <w:r w:rsidRPr="00306623">
        <w:rPr>
          <w:rFonts w:ascii="Bookman Old Style" w:hAnsi="Bookman Old Style" w:cs="Arial"/>
          <w:color w:val="000000"/>
          <w:sz w:val="28"/>
          <w:szCs w:val="28"/>
          <w:lang w:val="el-GR"/>
        </w:rPr>
        <w:t>εξηγείται</w:t>
      </w:r>
      <w:r w:rsidRPr="00306623">
        <w:rPr>
          <w:rFonts w:ascii="Bookman Old Style" w:hAnsi="Bookman Old Style" w:cs="Arial"/>
          <w:color w:val="000000"/>
          <w:sz w:val="28"/>
          <w:szCs w:val="28"/>
          <w:lang w:val="en-US"/>
        </w:rPr>
        <w:t> </w:t>
      </w:r>
      <w:r w:rsidRPr="00306623">
        <w:rPr>
          <w:rFonts w:ascii="Bookman Old Style" w:hAnsi="Bookman Old Style" w:cs="Arial"/>
          <w:color w:val="000000"/>
          <w:sz w:val="28"/>
          <w:szCs w:val="28"/>
          <w:lang w:val="el-GR"/>
        </w:rPr>
        <w:t>στην</w:t>
      </w:r>
      <w:r w:rsidRPr="00306623">
        <w:rPr>
          <w:rFonts w:ascii="Bookman Old Style" w:hAnsi="Bookman Old Style" w:cs="Arial"/>
          <w:color w:val="000000"/>
          <w:sz w:val="28"/>
          <w:szCs w:val="28"/>
          <w:lang w:val="en-US"/>
        </w:rPr>
        <w:t> </w:t>
      </w:r>
      <w:r w:rsidRPr="00306623">
        <w:rPr>
          <w:rFonts w:ascii="Bookman Old Style" w:hAnsi="Bookman Old Style" w:cs="Arial"/>
          <w:color w:val="000000"/>
          <w:sz w:val="28"/>
          <w:szCs w:val="28"/>
          <w:lang w:val="el-GR"/>
        </w:rPr>
        <w:t>υπόθεση</w:t>
      </w:r>
      <w:r w:rsidRPr="00306623">
        <w:rPr>
          <w:rFonts w:ascii="Bookman Old Style" w:hAnsi="Bookman Old Style" w:cs="Arial"/>
          <w:color w:val="000000"/>
          <w:sz w:val="28"/>
          <w:szCs w:val="28"/>
          <w:lang w:val="en-US"/>
        </w:rPr>
        <w:t> </w:t>
      </w:r>
      <w:r w:rsidRPr="00306623">
        <w:rPr>
          <w:rFonts w:ascii="Bookman Old Style" w:hAnsi="Bookman Old Style" w:cs="Arial"/>
          <w:b/>
          <w:bCs/>
          <w:i/>
          <w:iCs/>
          <w:color w:val="000000"/>
          <w:sz w:val="28"/>
          <w:szCs w:val="28"/>
          <w:lang w:val="en-US"/>
        </w:rPr>
        <w:t>AS &amp; DD (Libya) v. Secretary of State for the Home Department &amp; Anor [2008] EWCA Civ 289</w:t>
      </w:r>
      <w:r w:rsidRPr="00306623">
        <w:rPr>
          <w:rFonts w:ascii="Bookman Old Style" w:hAnsi="Bookman Old Style" w:cs="Arial"/>
          <w:color w:val="000000"/>
          <w:sz w:val="28"/>
          <w:szCs w:val="28"/>
          <w:lang w:val="en-US"/>
        </w:rPr>
        <w:t>:</w:t>
      </w:r>
    </w:p>
    <w:p w14:paraId="65914D3F" w14:textId="77777777" w:rsidR="00D61FF9" w:rsidRPr="00306623" w:rsidRDefault="00D61FF9" w:rsidP="00306623">
      <w:pPr>
        <w:spacing w:line="480" w:lineRule="auto"/>
        <w:jc w:val="both"/>
        <w:rPr>
          <w:rFonts w:ascii="Bookman Old Style" w:hAnsi="Bookman Old Style" w:cs="Calibri"/>
          <w:color w:val="000000"/>
          <w:sz w:val="22"/>
          <w:szCs w:val="22"/>
        </w:rPr>
      </w:pPr>
    </w:p>
    <w:p w14:paraId="06587B1C" w14:textId="704D1ED9" w:rsidR="00306623" w:rsidRDefault="00306623" w:rsidP="00306623">
      <w:pPr>
        <w:spacing w:line="330" w:lineRule="atLeast"/>
        <w:ind w:left="426" w:right="390"/>
        <w:jc w:val="both"/>
        <w:rPr>
          <w:rFonts w:ascii="Bookman Old Style" w:hAnsi="Bookman Old Style" w:cs="Arial"/>
          <w:color w:val="000000"/>
          <w:sz w:val="26"/>
          <w:szCs w:val="26"/>
          <w:shd w:val="clear" w:color="auto" w:fill="FFFFFF"/>
          <w:lang w:val="en-US"/>
        </w:rPr>
      </w:pPr>
      <w:r w:rsidRPr="00306623">
        <w:rPr>
          <w:rFonts w:ascii="Arial" w:hAnsi="Arial" w:cs="Arial"/>
          <w:color w:val="000000"/>
          <w:sz w:val="22"/>
          <w:szCs w:val="22"/>
          <w:lang w:val="en-US"/>
        </w:rPr>
        <w:t> </w:t>
      </w:r>
      <w:r w:rsidRPr="00306623">
        <w:rPr>
          <w:rFonts w:ascii="Bookman Old Style" w:hAnsi="Bookman Old Style" w:cs="Arial"/>
          <w:color w:val="000000"/>
          <w:sz w:val="26"/>
          <w:szCs w:val="26"/>
          <w:lang w:val="en-US"/>
        </w:rPr>
        <w:t>«</w:t>
      </w:r>
      <w:r w:rsidRPr="00306623">
        <w:rPr>
          <w:rFonts w:ascii="Bookman Old Style" w:hAnsi="Bookman Old Style" w:cs="Arial"/>
          <w:color w:val="000000"/>
          <w:sz w:val="26"/>
          <w:szCs w:val="26"/>
          <w:shd w:val="clear" w:color="auto" w:fill="FFFFFF"/>
          <w:lang w:val="en-US"/>
        </w:rPr>
        <w:t> .. </w:t>
      </w:r>
      <w:r w:rsidRPr="00306623">
        <w:rPr>
          <w:rFonts w:ascii="Bookman Old Style" w:hAnsi="Bookman Old Style" w:cs="Arial"/>
          <w:i/>
          <w:iCs/>
          <w:color w:val="000000"/>
          <w:sz w:val="26"/>
          <w:szCs w:val="26"/>
          <w:shd w:val="clear" w:color="auto" w:fill="FFFFFF"/>
          <w:lang w:val="en-US"/>
        </w:rPr>
        <w:t>the requirement that there must be substantial grounds for believing that there would be a real risk of ill-treatment contrary to art 3 on return, means no more than that there must be a proper evidential basis for concluding that there was such a real risk. This is made clear in Saadi v Italy, which is a decision of the Grand Chamber of the ECtHR, application 37201/06</w:t>
      </w:r>
      <w:r w:rsidRPr="00306623">
        <w:rPr>
          <w:rFonts w:ascii="Bookman Old Style" w:hAnsi="Bookman Old Style" w:cs="Arial"/>
          <w:color w:val="000000"/>
          <w:sz w:val="26"/>
          <w:szCs w:val="26"/>
          <w:shd w:val="clear" w:color="auto" w:fill="FFFFFF"/>
          <w:lang w:val="en-US"/>
        </w:rPr>
        <w:t>.»</w:t>
      </w:r>
    </w:p>
    <w:p w14:paraId="37A3C5A3" w14:textId="77777777" w:rsidR="00CC1C53" w:rsidRDefault="00CC1C53" w:rsidP="00306623">
      <w:pPr>
        <w:spacing w:line="330" w:lineRule="atLeast"/>
        <w:ind w:left="426" w:right="390"/>
        <w:jc w:val="both"/>
        <w:rPr>
          <w:rFonts w:ascii="Bookman Old Style" w:hAnsi="Bookman Old Style" w:cs="Arial"/>
          <w:color w:val="000000"/>
          <w:sz w:val="26"/>
          <w:szCs w:val="26"/>
          <w:shd w:val="clear" w:color="auto" w:fill="FFFFFF"/>
          <w:lang w:val="en-US"/>
        </w:rPr>
      </w:pPr>
    </w:p>
    <w:p w14:paraId="02C2B62F" w14:textId="77777777" w:rsidR="00306623" w:rsidRPr="006B0D62" w:rsidRDefault="00306623" w:rsidP="00306623">
      <w:pPr>
        <w:spacing w:line="253" w:lineRule="atLeast"/>
        <w:ind w:left="426" w:right="248"/>
        <w:jc w:val="both"/>
        <w:rPr>
          <w:rFonts w:ascii="Calibri" w:hAnsi="Calibri" w:cs="Calibri"/>
          <w:color w:val="000000"/>
          <w:sz w:val="22"/>
          <w:szCs w:val="22"/>
          <w:lang w:val="en-US"/>
        </w:rPr>
      </w:pPr>
      <w:r w:rsidRPr="00306623">
        <w:rPr>
          <w:rFonts w:ascii="Arial" w:hAnsi="Arial" w:cs="Arial"/>
          <w:color w:val="000000"/>
          <w:sz w:val="26"/>
          <w:szCs w:val="26"/>
          <w:shd w:val="clear" w:color="auto" w:fill="FFFFFF"/>
          <w:lang w:val="en-US"/>
        </w:rPr>
        <w:t> </w:t>
      </w:r>
    </w:p>
    <w:p w14:paraId="151F043C" w14:textId="77777777" w:rsidR="00CC1C53" w:rsidRDefault="00306623" w:rsidP="00306623">
      <w:pPr>
        <w:spacing w:line="480" w:lineRule="auto"/>
        <w:jc w:val="both"/>
        <w:rPr>
          <w:rFonts w:ascii="Bookman Old Style" w:hAnsi="Bookman Old Style" w:cs="Arial"/>
          <w:color w:val="000000"/>
          <w:sz w:val="28"/>
          <w:szCs w:val="28"/>
          <w:lang w:val="el-GR"/>
        </w:rPr>
      </w:pPr>
      <w:r w:rsidRPr="00306623">
        <w:rPr>
          <w:rFonts w:ascii="Bookman Old Style" w:hAnsi="Bookman Old Style" w:cs="Arial"/>
          <w:color w:val="000000"/>
          <w:sz w:val="28"/>
          <w:szCs w:val="28"/>
          <w:lang w:val="el-GR"/>
        </w:rPr>
        <w:t>Δεδομένης της σοβαρότητας των συνεπειών έκδοσης ενός προσώπου, είναι αρκετό να ικανοποιηθεί το Δικαστήριο ότι υπάρχει εύλογη πιθανότητα ή ουσιώδεις λόγοι να πιστεύεται ή σοβαρή πιθανότητα να υφίστανται αυτές οι επιπτώσεις (</w:t>
      </w:r>
      <w:r w:rsidRPr="00306623">
        <w:rPr>
          <w:rFonts w:ascii="Bookman Old Style" w:hAnsi="Bookman Old Style" w:cs="Arial"/>
          <w:b/>
          <w:bCs/>
          <w:i/>
          <w:iCs/>
          <w:color w:val="000000"/>
          <w:sz w:val="28"/>
          <w:szCs w:val="28"/>
          <w:lang w:val="el-GR"/>
        </w:rPr>
        <w:t>Fernandez v. Government of Singapore (1971) 2 All E.R.</w:t>
      </w:r>
      <w:r w:rsidR="00CC1C53">
        <w:rPr>
          <w:rFonts w:ascii="Bookman Old Style" w:hAnsi="Bookman Old Style" w:cs="Arial"/>
          <w:b/>
          <w:bCs/>
          <w:i/>
          <w:iCs/>
          <w:color w:val="000000"/>
          <w:sz w:val="28"/>
          <w:szCs w:val="28"/>
          <w:lang w:val="el-GR"/>
        </w:rPr>
        <w:t xml:space="preserve"> 691, </w:t>
      </w:r>
      <w:r w:rsidRPr="00306623">
        <w:rPr>
          <w:rFonts w:ascii="Bookman Old Style" w:hAnsi="Bookman Old Style" w:cs="Arial"/>
          <w:b/>
          <w:bCs/>
          <w:i/>
          <w:iCs/>
          <w:color w:val="000000"/>
          <w:sz w:val="28"/>
          <w:szCs w:val="28"/>
          <w:lang w:val="el-GR"/>
        </w:rPr>
        <w:t>Essa</w:t>
      </w:r>
      <w:r w:rsidR="00CC1C53">
        <w:rPr>
          <w:rFonts w:ascii="Bookman Old Style" w:hAnsi="Bookman Old Style" w:cs="Arial"/>
          <w:b/>
          <w:bCs/>
          <w:i/>
          <w:iCs/>
          <w:color w:val="000000"/>
          <w:sz w:val="28"/>
          <w:szCs w:val="28"/>
          <w:lang w:val="el-GR"/>
        </w:rPr>
        <w:t xml:space="preserve"> (2007) 1 Α.Α.Δ. 1127</w:t>
      </w:r>
      <w:r w:rsidRPr="00306623">
        <w:rPr>
          <w:rFonts w:ascii="Bookman Old Style" w:hAnsi="Bookman Old Style" w:cs="Arial"/>
          <w:b/>
          <w:bCs/>
          <w:i/>
          <w:iCs/>
          <w:color w:val="000000"/>
          <w:sz w:val="28"/>
          <w:szCs w:val="28"/>
          <w:lang w:val="el-GR"/>
        </w:rPr>
        <w:t> </w:t>
      </w:r>
      <w:r w:rsidRPr="00306623">
        <w:rPr>
          <w:rFonts w:ascii="Bookman Old Style" w:hAnsi="Bookman Old Style" w:cs="Arial"/>
          <w:color w:val="000000"/>
          <w:sz w:val="28"/>
          <w:szCs w:val="28"/>
          <w:lang w:val="el-GR"/>
        </w:rPr>
        <w:t>και </w:t>
      </w:r>
      <w:r w:rsidRPr="00306623">
        <w:rPr>
          <w:rFonts w:ascii="Bookman Old Style" w:hAnsi="Bookman Old Style" w:cs="Arial"/>
          <w:b/>
          <w:bCs/>
          <w:i/>
          <w:iCs/>
          <w:color w:val="000000"/>
          <w:sz w:val="28"/>
          <w:szCs w:val="28"/>
          <w:lang w:val="el-GR"/>
        </w:rPr>
        <w:t>Mikhailovich, Πολιτική</w:t>
      </w:r>
      <w:r w:rsidR="00CC1C53">
        <w:rPr>
          <w:rFonts w:ascii="Bookman Old Style" w:hAnsi="Bookman Old Style" w:cs="Arial"/>
          <w:b/>
          <w:bCs/>
          <w:i/>
          <w:iCs/>
          <w:color w:val="000000"/>
          <w:sz w:val="28"/>
          <w:szCs w:val="28"/>
          <w:lang w:val="el-GR"/>
        </w:rPr>
        <w:t xml:space="preserve"> Αίτηση Αρ. 65/2020, ημερ. 28/4/2021</w:t>
      </w:r>
      <w:r w:rsidR="00CC1C53">
        <w:rPr>
          <w:rFonts w:ascii="Bookman Old Style" w:hAnsi="Bookman Old Style" w:cs="Arial"/>
          <w:color w:val="000000"/>
          <w:sz w:val="28"/>
          <w:szCs w:val="28"/>
          <w:lang w:val="el-GR"/>
        </w:rPr>
        <w:t>).</w:t>
      </w:r>
    </w:p>
    <w:p w14:paraId="74639ACA" w14:textId="77777777" w:rsidR="004868B3" w:rsidRPr="00D61FF9" w:rsidRDefault="004868B3" w:rsidP="00306623">
      <w:pPr>
        <w:spacing w:line="480" w:lineRule="auto"/>
        <w:jc w:val="both"/>
        <w:rPr>
          <w:rFonts w:ascii="Bookman Old Style" w:hAnsi="Bookman Old Style" w:cs="Calibri"/>
          <w:color w:val="000000"/>
          <w:sz w:val="22"/>
          <w:szCs w:val="22"/>
          <w:lang w:val="el-GR"/>
        </w:rPr>
      </w:pPr>
    </w:p>
    <w:p w14:paraId="52FE6346" w14:textId="3CDD4F48" w:rsidR="007066FF" w:rsidRDefault="00E34BBC" w:rsidP="00BB3C55">
      <w:pPr>
        <w:spacing w:line="480" w:lineRule="auto"/>
        <w:jc w:val="both"/>
        <w:rPr>
          <w:rStyle w:val="sb8d990e2"/>
          <w:rFonts w:ascii="Bookman Old Style" w:hAnsi="Bookman Old Style" w:cs="Arial"/>
          <w:color w:val="000000"/>
          <w:sz w:val="28"/>
          <w:szCs w:val="28"/>
          <w:lang w:val="el-GR"/>
        </w:rPr>
      </w:pPr>
      <w:r>
        <w:rPr>
          <w:rFonts w:ascii="Bookman Old Style" w:hAnsi="Bookman Old Style" w:cs="Arial"/>
          <w:sz w:val="28"/>
          <w:szCs w:val="28"/>
          <w:lang w:val="el-GR"/>
        </w:rPr>
        <w:t>Στην υπό εξέταση περίπτωση, ο Εφεσείων, ο οποίος είχε το βάρος να αποδείξει ότι υπάρχουν βάσιμοι λόγοι να πιστεύεται ότι θα υποστεί δυσμενή μεταχείριση ή παράβαση ανθρώπινου δικαιώματος του ή ότι δεν θα τύχει δίκαιης δίκης, όπως ορθά επεσήμανε το πρωτόδικο Δικαστήριο, δεν προέβαλε οποιοδήποτε ισχυρισμό που να καταδεικνύει οποιοδήποτε κίνδυνο να παραβιασθούν οποιαδήποτε δικαιώματα του εάν παραδοθεί στην πατρίδα του.</w:t>
      </w:r>
      <w:r w:rsidR="00F14397">
        <w:rPr>
          <w:rFonts w:ascii="Bookman Old Style" w:hAnsi="Bookman Old Style" w:cs="Arial"/>
          <w:sz w:val="28"/>
          <w:szCs w:val="28"/>
          <w:lang w:val="el-GR"/>
        </w:rPr>
        <w:t xml:space="preserve"> </w:t>
      </w:r>
      <w:r w:rsidR="0058005F">
        <w:rPr>
          <w:rFonts w:ascii="Bookman Old Style" w:hAnsi="Bookman Old Style" w:cs="Arial"/>
          <w:sz w:val="28"/>
          <w:szCs w:val="28"/>
          <w:lang w:val="el-GR"/>
        </w:rPr>
        <w:t xml:space="preserve">Δεν επικαλέστηκε ότι η απόδοση του στη Ρωσική Ομοσπονδία ενέχει πραγματικό κίνδυνο δυσμενούς μεταχείρισης ή παραβίασης ανθρώπινου δικαιώματος. </w:t>
      </w:r>
      <w:r w:rsidR="00F14397">
        <w:rPr>
          <w:rFonts w:ascii="Bookman Old Style" w:hAnsi="Bookman Old Style" w:cs="Arial"/>
          <w:sz w:val="28"/>
          <w:szCs w:val="28"/>
          <w:lang w:val="el-GR"/>
        </w:rPr>
        <w:t>Η δε επίκληση από τον ίδιο του γεγονότος ότι οι παρασχεθείσες διαβεβαιώσεις από τη</w:t>
      </w:r>
      <w:r w:rsidR="00F14397" w:rsidRPr="00F14397">
        <w:rPr>
          <w:rFonts w:ascii="Bookman Old Style" w:hAnsi="Bookman Old Style" w:cs="Arial"/>
          <w:sz w:val="28"/>
          <w:szCs w:val="28"/>
          <w:lang w:val="el-GR"/>
        </w:rPr>
        <w:t xml:space="preserve"> </w:t>
      </w:r>
      <w:r w:rsidR="00F14397">
        <w:rPr>
          <w:rFonts w:ascii="Bookman Old Style" w:hAnsi="Bookman Old Style" w:cs="Arial"/>
          <w:sz w:val="28"/>
          <w:szCs w:val="28"/>
          <w:lang w:val="el-GR"/>
        </w:rPr>
        <w:t>Ρωσική Ομοσπονδία δεν επαρκούν «</w:t>
      </w:r>
      <w:r w:rsidR="00F14397" w:rsidRPr="00F14397">
        <w:rPr>
          <w:rFonts w:ascii="Bookman Old Style" w:hAnsi="Bookman Old Style" w:cs="Arial"/>
          <w:i/>
          <w:iCs/>
          <w:sz w:val="28"/>
          <w:szCs w:val="28"/>
          <w:lang w:val="el-GR"/>
        </w:rPr>
        <w:t>στην εξάλειψη του αυξημένου κινδύνου που διατρέχει σε περίπτωση έκδοσης του σε υποβολή του σε μεταχείριση αντίθετη με την ΕΣΔΑ και μάλιστα χωρίς να δύναται να τύχει αποτελεσματικής δικαστικής προστασίας</w:t>
      </w:r>
      <w:r w:rsidR="00F14397">
        <w:rPr>
          <w:rFonts w:ascii="Bookman Old Style" w:hAnsi="Bookman Old Style" w:cs="Arial"/>
          <w:sz w:val="28"/>
          <w:szCs w:val="28"/>
          <w:lang w:val="el-GR"/>
        </w:rPr>
        <w:t>», αναντίρρητα υπολείπ</w:t>
      </w:r>
      <w:r w:rsidR="00251EAC">
        <w:rPr>
          <w:rFonts w:ascii="Bookman Old Style" w:hAnsi="Bookman Old Style" w:cs="Arial"/>
          <w:sz w:val="28"/>
          <w:szCs w:val="28"/>
          <w:lang w:val="el-GR"/>
        </w:rPr>
        <w:t>ε</w:t>
      </w:r>
      <w:r w:rsidR="00F14397">
        <w:rPr>
          <w:rFonts w:ascii="Bookman Old Style" w:hAnsi="Bookman Old Style" w:cs="Arial"/>
          <w:sz w:val="28"/>
          <w:szCs w:val="28"/>
          <w:lang w:val="el-GR"/>
        </w:rPr>
        <w:t xml:space="preserve">το της στοιχειοθέτησης, εκ μέρους του, πραγματικού κινδύνου στη συγκεκριμένη περίπτωση. </w:t>
      </w:r>
      <w:r w:rsidR="00DF60ED">
        <w:rPr>
          <w:rFonts w:ascii="Bookman Old Style" w:hAnsi="Bookman Old Style" w:cs="Arial"/>
          <w:sz w:val="28"/>
          <w:szCs w:val="28"/>
          <w:lang w:val="el-GR"/>
        </w:rPr>
        <w:t>Υπό το φως των πιο πάνω ε</w:t>
      </w:r>
      <w:r w:rsidR="00F14397">
        <w:rPr>
          <w:rFonts w:ascii="Bookman Old Style" w:hAnsi="Bookman Old Style" w:cs="Arial"/>
          <w:sz w:val="28"/>
          <w:szCs w:val="28"/>
          <w:lang w:val="el-GR"/>
        </w:rPr>
        <w:t>ίναι</w:t>
      </w:r>
      <w:r w:rsidR="0058005F">
        <w:rPr>
          <w:rFonts w:ascii="Bookman Old Style" w:hAnsi="Bookman Old Style" w:cs="Arial"/>
          <w:sz w:val="28"/>
          <w:szCs w:val="28"/>
          <w:lang w:val="el-GR"/>
        </w:rPr>
        <w:t xml:space="preserve"> ορθή</w:t>
      </w:r>
      <w:r w:rsidR="00DF60ED" w:rsidRPr="00DF60ED">
        <w:rPr>
          <w:rFonts w:ascii="Bookman Old Style" w:hAnsi="Bookman Old Style" w:cs="Arial"/>
          <w:sz w:val="28"/>
          <w:szCs w:val="28"/>
          <w:lang w:val="el-GR"/>
        </w:rPr>
        <w:t xml:space="preserve">, </w:t>
      </w:r>
      <w:r w:rsidR="0058005F">
        <w:rPr>
          <w:rFonts w:ascii="Bookman Old Style" w:hAnsi="Bookman Old Style" w:cs="Arial"/>
          <w:sz w:val="28"/>
          <w:szCs w:val="28"/>
          <w:lang w:val="el-GR"/>
        </w:rPr>
        <w:t>η επισήμανση του πρωτόδικου Δικαστηρίου ότι η γενικευμένη προσέγγιση που ο Εφεσείων εισηγήθηκε</w:t>
      </w:r>
      <w:r w:rsidR="00251EAC">
        <w:rPr>
          <w:rFonts w:ascii="Bookman Old Style" w:hAnsi="Bookman Old Style" w:cs="Arial"/>
          <w:sz w:val="28"/>
          <w:szCs w:val="28"/>
          <w:lang w:val="el-GR"/>
        </w:rPr>
        <w:t>,</w:t>
      </w:r>
      <w:r w:rsidR="0058005F">
        <w:rPr>
          <w:rFonts w:ascii="Bookman Old Style" w:hAnsi="Bookman Old Style" w:cs="Arial"/>
          <w:sz w:val="28"/>
          <w:szCs w:val="28"/>
          <w:lang w:val="el-GR"/>
        </w:rPr>
        <w:t xml:space="preserve"> θα είχε</w:t>
      </w:r>
      <w:r w:rsidR="00251EAC">
        <w:rPr>
          <w:rFonts w:ascii="Bookman Old Style" w:hAnsi="Bookman Old Style" w:cs="Arial"/>
          <w:sz w:val="28"/>
          <w:szCs w:val="28"/>
          <w:lang w:val="el-GR"/>
        </w:rPr>
        <w:t>,</w:t>
      </w:r>
      <w:r w:rsidR="0058005F">
        <w:rPr>
          <w:rFonts w:ascii="Bookman Old Style" w:hAnsi="Bookman Old Style" w:cs="Arial"/>
          <w:sz w:val="28"/>
          <w:szCs w:val="28"/>
          <w:lang w:val="el-GR"/>
        </w:rPr>
        <w:t xml:space="preserve"> ως αποτέλεσμα</w:t>
      </w:r>
      <w:r w:rsidR="00251EAC">
        <w:rPr>
          <w:rFonts w:ascii="Bookman Old Style" w:hAnsi="Bookman Old Style" w:cs="Arial"/>
          <w:sz w:val="28"/>
          <w:szCs w:val="28"/>
          <w:lang w:val="el-GR"/>
        </w:rPr>
        <w:t>,</w:t>
      </w:r>
      <w:r w:rsidR="0058005F">
        <w:rPr>
          <w:rFonts w:ascii="Bookman Old Style" w:hAnsi="Bookman Old Style" w:cs="Arial"/>
          <w:sz w:val="28"/>
          <w:szCs w:val="28"/>
          <w:lang w:val="el-GR"/>
        </w:rPr>
        <w:t xml:space="preserve"> την </w:t>
      </w:r>
      <w:r w:rsidR="0058005F" w:rsidRPr="00DF60ED">
        <w:rPr>
          <w:rFonts w:ascii="Bookman Old Style" w:hAnsi="Bookman Old Style" w:cs="Arial"/>
          <w:i/>
          <w:iCs/>
          <w:sz w:val="28"/>
          <w:szCs w:val="28"/>
          <w:lang w:val="en-US"/>
        </w:rPr>
        <w:t>a</w:t>
      </w:r>
      <w:r w:rsidR="0058005F" w:rsidRPr="00DF60ED">
        <w:rPr>
          <w:rFonts w:ascii="Bookman Old Style" w:hAnsi="Bookman Old Style" w:cs="Arial"/>
          <w:i/>
          <w:iCs/>
          <w:sz w:val="28"/>
          <w:szCs w:val="28"/>
          <w:lang w:val="el-GR"/>
        </w:rPr>
        <w:t xml:space="preserve"> </w:t>
      </w:r>
      <w:r w:rsidR="0058005F" w:rsidRPr="00DF60ED">
        <w:rPr>
          <w:rFonts w:ascii="Bookman Old Style" w:hAnsi="Bookman Old Style" w:cs="Arial"/>
          <w:i/>
          <w:iCs/>
          <w:sz w:val="28"/>
          <w:szCs w:val="28"/>
          <w:lang w:val="en-US"/>
        </w:rPr>
        <w:t>priori</w:t>
      </w:r>
      <w:r w:rsidR="0058005F">
        <w:rPr>
          <w:rFonts w:ascii="Bookman Old Style" w:hAnsi="Bookman Old Style" w:cs="Arial"/>
          <w:sz w:val="28"/>
          <w:szCs w:val="28"/>
          <w:lang w:val="el-GR"/>
        </w:rPr>
        <w:t xml:space="preserve"> εξουδετέρωση της υφιστάμενης </w:t>
      </w:r>
      <w:r w:rsidR="00AD44FD">
        <w:rPr>
          <w:rFonts w:ascii="Bookman Old Style" w:hAnsi="Bookman Old Style" w:cs="Arial"/>
          <w:sz w:val="28"/>
          <w:szCs w:val="28"/>
          <w:lang w:val="el-GR"/>
        </w:rPr>
        <w:t>Ευρωπαϊκής</w:t>
      </w:r>
      <w:r w:rsidR="0058005F">
        <w:rPr>
          <w:rFonts w:ascii="Bookman Old Style" w:hAnsi="Bookman Old Style" w:cs="Arial"/>
          <w:sz w:val="28"/>
          <w:szCs w:val="28"/>
          <w:lang w:val="el-GR"/>
        </w:rPr>
        <w:t xml:space="preserve"> Σύμβασης μεταξύ Κυπριακής Δημοκρατία</w:t>
      </w:r>
      <w:r w:rsidR="00AD44FD">
        <w:rPr>
          <w:rFonts w:ascii="Bookman Old Style" w:hAnsi="Bookman Old Style" w:cs="Arial"/>
          <w:sz w:val="28"/>
          <w:szCs w:val="28"/>
          <w:lang w:val="el-GR"/>
        </w:rPr>
        <w:t>ς</w:t>
      </w:r>
      <w:r w:rsidR="001E00B9">
        <w:rPr>
          <w:rFonts w:ascii="Bookman Old Style" w:hAnsi="Bookman Old Style" w:cs="Arial"/>
          <w:sz w:val="28"/>
          <w:szCs w:val="28"/>
          <w:lang w:val="el-GR"/>
        </w:rPr>
        <w:t xml:space="preserve"> και Ρωσικής Ομοσπονδίας</w:t>
      </w:r>
      <w:r w:rsidR="00AD44FD">
        <w:rPr>
          <w:rFonts w:ascii="Bookman Old Style" w:hAnsi="Bookman Old Style" w:cs="Arial"/>
          <w:sz w:val="28"/>
          <w:szCs w:val="28"/>
          <w:lang w:val="el-GR"/>
        </w:rPr>
        <w:t xml:space="preserve"> καθ</w:t>
      </w:r>
      <w:r w:rsidR="00CC1C53">
        <w:rPr>
          <w:rFonts w:ascii="Bookman Old Style" w:hAnsi="Bookman Old Style" w:cs="Arial"/>
          <w:sz w:val="28"/>
          <w:szCs w:val="28"/>
          <w:lang w:val="el-GR"/>
        </w:rPr>
        <w:t xml:space="preserve">’ </w:t>
      </w:r>
      <w:r w:rsidR="00DF60ED">
        <w:rPr>
          <w:rFonts w:ascii="Bookman Old Style" w:hAnsi="Bookman Old Style" w:cs="Arial"/>
          <w:sz w:val="28"/>
          <w:szCs w:val="28"/>
          <w:lang w:val="el-GR"/>
        </w:rPr>
        <w:t>η</w:t>
      </w:r>
      <w:r w:rsidR="00AD44FD">
        <w:rPr>
          <w:rFonts w:ascii="Bookman Old Style" w:hAnsi="Bookman Old Style" w:cs="Arial"/>
          <w:sz w:val="28"/>
          <w:szCs w:val="28"/>
          <w:lang w:val="el-GR"/>
        </w:rPr>
        <w:t xml:space="preserve">ν στιγμή η εν λόγω Σύμβαση έχει εξαιρεθεί από το σύνολο των κυρώσεων που επέβαλε το </w:t>
      </w:r>
      <w:r w:rsidR="00DF60ED">
        <w:rPr>
          <w:rFonts w:ascii="Bookman Old Style" w:hAnsi="Bookman Old Style" w:cs="Arial"/>
          <w:sz w:val="28"/>
          <w:szCs w:val="28"/>
          <w:lang w:val="el-GR"/>
        </w:rPr>
        <w:t>Σ</w:t>
      </w:r>
      <w:r w:rsidR="00AD44FD">
        <w:rPr>
          <w:rFonts w:ascii="Bookman Old Style" w:hAnsi="Bookman Old Style" w:cs="Arial"/>
          <w:sz w:val="28"/>
          <w:szCs w:val="28"/>
          <w:lang w:val="el-GR"/>
        </w:rPr>
        <w:t>υμβούλιο της Ευρώπης στη Ρωσική Ομοσπονδία</w:t>
      </w:r>
      <w:r w:rsidR="00DF60ED">
        <w:rPr>
          <w:rFonts w:ascii="Bookman Old Style" w:hAnsi="Bookman Old Style" w:cs="Arial"/>
          <w:sz w:val="28"/>
          <w:szCs w:val="28"/>
          <w:lang w:val="el-GR"/>
        </w:rPr>
        <w:t xml:space="preserve"> και παρέμεινε σε ισχύ. Όπως δε ευστόχως τέθηκε από το πρωτόδικο Δικαστήριο, «</w:t>
      </w:r>
      <w:r w:rsidR="00DF60ED" w:rsidRPr="00DF60ED">
        <w:rPr>
          <w:rStyle w:val="sb8d990e2"/>
          <w:rFonts w:ascii="Bookman Old Style" w:hAnsi="Bookman Old Style" w:cs="Arial"/>
          <w:i/>
          <w:iCs/>
          <w:color w:val="000000"/>
          <w:sz w:val="28"/>
          <w:szCs w:val="28"/>
          <w:lang w:val="el-GR"/>
        </w:rPr>
        <w:t>Άλλως πως το ευρωπαϊκό έδαφος θα απέληγε σε έδαφος ασυλίας για καταδικασθέντες εγκληματίες ή καταζητούμενους για εγκλήματα στη Ρωσία, οι οποίοι δεν έχουν καταδείξει κανένα λόγο από πλευράς ανθρωπίνων δικαιωμάτων στη δική τους συγκεκριμένη περίπτωση, γιατί δεν θα πρέπει να αποδοθούν στην χώρα τους ώστε να εκτίσουν την ποινή τους ή να  δικαστούν. Και αντιστρόφως». </w:t>
      </w:r>
      <w:r w:rsidR="00B26DF6">
        <w:rPr>
          <w:rStyle w:val="sb8d990e2"/>
          <w:rFonts w:ascii="Bookman Old Style" w:hAnsi="Bookman Old Style" w:cs="Arial"/>
          <w:color w:val="000000"/>
          <w:sz w:val="28"/>
          <w:szCs w:val="28"/>
          <w:lang w:val="el-GR"/>
        </w:rPr>
        <w:t>Ο</w:t>
      </w:r>
      <w:r w:rsidR="00BB704D">
        <w:rPr>
          <w:rStyle w:val="sb8d990e2"/>
          <w:rFonts w:ascii="Bookman Old Style" w:hAnsi="Bookman Old Style" w:cs="Arial"/>
          <w:color w:val="000000"/>
          <w:sz w:val="28"/>
          <w:szCs w:val="28"/>
          <w:lang w:val="el-GR"/>
        </w:rPr>
        <w:t>ύτε</w:t>
      </w:r>
      <w:r w:rsidR="00BB704D" w:rsidRPr="00BB704D">
        <w:rPr>
          <w:rStyle w:val="sb8d990e2"/>
          <w:rFonts w:ascii="Bookman Old Style" w:hAnsi="Bookman Old Style" w:cs="Arial"/>
          <w:color w:val="000000"/>
          <w:sz w:val="28"/>
          <w:szCs w:val="28"/>
          <w:lang w:val="el-GR"/>
        </w:rPr>
        <w:t xml:space="preserve"> </w:t>
      </w:r>
      <w:r w:rsidR="00BB704D">
        <w:rPr>
          <w:rStyle w:val="sb8d990e2"/>
          <w:rFonts w:ascii="Bookman Old Style" w:hAnsi="Bookman Old Style" w:cs="Arial"/>
          <w:color w:val="000000"/>
          <w:sz w:val="28"/>
          <w:szCs w:val="28"/>
          <w:lang w:val="el-GR"/>
        </w:rPr>
        <w:t>στην υπό συζήτηση περίπτωση</w:t>
      </w:r>
      <w:r w:rsidR="00B26DF6">
        <w:rPr>
          <w:rStyle w:val="sb8d990e2"/>
          <w:rFonts w:ascii="Bookman Old Style" w:hAnsi="Bookman Old Style" w:cs="Arial"/>
          <w:color w:val="000000"/>
          <w:sz w:val="28"/>
          <w:szCs w:val="28"/>
          <w:lang w:val="el-GR"/>
        </w:rPr>
        <w:t>,</w:t>
      </w:r>
      <w:r w:rsidR="00BB704D">
        <w:rPr>
          <w:rStyle w:val="sb8d990e2"/>
          <w:rFonts w:ascii="Bookman Old Style" w:hAnsi="Bookman Old Style" w:cs="Arial"/>
          <w:color w:val="000000"/>
          <w:sz w:val="28"/>
          <w:szCs w:val="28"/>
          <w:lang w:val="el-GR"/>
        </w:rPr>
        <w:t xml:space="preserve"> </w:t>
      </w:r>
      <w:r w:rsidR="00B26DF6">
        <w:rPr>
          <w:rStyle w:val="sb8d990e2"/>
          <w:rFonts w:ascii="Bookman Old Style" w:hAnsi="Bookman Old Style" w:cs="Arial"/>
          <w:color w:val="000000"/>
          <w:sz w:val="28"/>
          <w:szCs w:val="28"/>
          <w:lang w:val="el-GR"/>
        </w:rPr>
        <w:t xml:space="preserve">αποτέλεσε </w:t>
      </w:r>
      <w:r w:rsidR="00BB704D">
        <w:rPr>
          <w:rStyle w:val="sb8d990e2"/>
          <w:rFonts w:ascii="Bookman Old Style" w:hAnsi="Bookman Old Style" w:cs="Arial"/>
          <w:color w:val="000000"/>
          <w:sz w:val="28"/>
          <w:szCs w:val="28"/>
          <w:lang w:val="el-GR"/>
        </w:rPr>
        <w:t xml:space="preserve">ποτέ η θέση του Εφεσείοντα ότι </w:t>
      </w:r>
      <w:r w:rsidR="00F5337A">
        <w:rPr>
          <w:rStyle w:val="sb8d990e2"/>
          <w:rFonts w:ascii="Bookman Old Style" w:hAnsi="Bookman Old Style" w:cs="Arial"/>
          <w:color w:val="000000"/>
          <w:sz w:val="28"/>
          <w:szCs w:val="28"/>
          <w:lang w:val="el-GR"/>
        </w:rPr>
        <w:t>η κατάσταση των ανθρωπίνων δικαιωμάτων στη Ρωσική Ομοσπονδία είναι τέτοια</w:t>
      </w:r>
      <w:r w:rsidR="00CC1C53">
        <w:rPr>
          <w:rStyle w:val="sb8d990e2"/>
          <w:rFonts w:ascii="Bookman Old Style" w:hAnsi="Bookman Old Style" w:cs="Arial"/>
          <w:color w:val="000000"/>
          <w:sz w:val="28"/>
          <w:szCs w:val="28"/>
          <w:lang w:val="el-GR"/>
        </w:rPr>
        <w:t>,</w:t>
      </w:r>
      <w:r w:rsidR="00F5337A">
        <w:rPr>
          <w:rStyle w:val="sb8d990e2"/>
          <w:rFonts w:ascii="Bookman Old Style" w:hAnsi="Bookman Old Style" w:cs="Arial"/>
          <w:color w:val="000000"/>
          <w:sz w:val="28"/>
          <w:szCs w:val="28"/>
          <w:lang w:val="el-GR"/>
        </w:rPr>
        <w:t xml:space="preserve"> ώστε να δικαιολογείτο μια προσέγγιση προς την κατεύθυνση</w:t>
      </w:r>
      <w:r w:rsidR="00B26DF6">
        <w:rPr>
          <w:rStyle w:val="sb8d990e2"/>
          <w:rFonts w:ascii="Bookman Old Style" w:hAnsi="Bookman Old Style" w:cs="Arial"/>
          <w:color w:val="000000"/>
          <w:sz w:val="28"/>
          <w:szCs w:val="28"/>
          <w:lang w:val="el-GR"/>
        </w:rPr>
        <w:t xml:space="preserve"> γενικότερης</w:t>
      </w:r>
      <w:r w:rsidR="00F5337A">
        <w:rPr>
          <w:rStyle w:val="sb8d990e2"/>
          <w:rFonts w:ascii="Bookman Old Style" w:hAnsi="Bookman Old Style" w:cs="Arial"/>
          <w:color w:val="000000"/>
          <w:sz w:val="28"/>
          <w:szCs w:val="28"/>
          <w:lang w:val="el-GR"/>
        </w:rPr>
        <w:t xml:space="preserve"> απαγόρευσης εκδόσεων προς τη χώρα αυτή επί τη βάσει του κινδύνου δυσμενούς μεταχείρισης και παραβίασης των ανθρωπίνων δικαιωμάτων </w:t>
      </w:r>
      <w:r w:rsidR="00BB704D">
        <w:rPr>
          <w:rStyle w:val="sb8d990e2"/>
          <w:rFonts w:ascii="Bookman Old Style" w:hAnsi="Bookman Old Style" w:cs="Arial"/>
          <w:color w:val="000000"/>
          <w:sz w:val="28"/>
          <w:szCs w:val="28"/>
          <w:lang w:val="el-GR"/>
        </w:rPr>
        <w:t>των εκζητουμένων</w:t>
      </w:r>
      <w:r w:rsidR="00B26DF6">
        <w:rPr>
          <w:rStyle w:val="sb8d990e2"/>
          <w:rFonts w:ascii="Bookman Old Style" w:hAnsi="Bookman Old Style" w:cs="Arial"/>
          <w:color w:val="000000"/>
          <w:sz w:val="28"/>
          <w:szCs w:val="28"/>
          <w:lang w:val="el-GR"/>
        </w:rPr>
        <w:t>.</w:t>
      </w:r>
    </w:p>
    <w:p w14:paraId="763EDC88" w14:textId="77777777" w:rsidR="00251EAC" w:rsidRDefault="00251EAC" w:rsidP="00963265">
      <w:pPr>
        <w:spacing w:line="480" w:lineRule="auto"/>
        <w:ind w:right="-35"/>
        <w:jc w:val="both"/>
        <w:rPr>
          <w:rStyle w:val="sb8d990e2"/>
          <w:rFonts w:ascii="Bookman Old Style" w:hAnsi="Bookman Old Style" w:cs="Arial"/>
          <w:color w:val="000000"/>
          <w:sz w:val="28"/>
          <w:szCs w:val="28"/>
          <w:lang w:val="el-GR"/>
        </w:rPr>
      </w:pPr>
    </w:p>
    <w:p w14:paraId="4F00E4F4" w14:textId="221328F3" w:rsidR="00251EAC" w:rsidRDefault="00251EAC" w:rsidP="00963265">
      <w:pPr>
        <w:spacing w:line="480" w:lineRule="auto"/>
        <w:ind w:right="-35"/>
        <w:jc w:val="both"/>
        <w:rPr>
          <w:rFonts w:ascii="Bookman Old Style" w:hAnsi="Bookman Old Style" w:cs="Arial"/>
          <w:color w:val="000000"/>
          <w:sz w:val="28"/>
          <w:szCs w:val="28"/>
          <w:lang w:val="el-GR"/>
        </w:rPr>
      </w:pPr>
      <w:r>
        <w:rPr>
          <w:rStyle w:val="sb8d990e2"/>
          <w:rFonts w:ascii="Bookman Old Style" w:hAnsi="Bookman Old Style" w:cs="Arial"/>
          <w:color w:val="000000"/>
          <w:sz w:val="28"/>
          <w:szCs w:val="28"/>
          <w:lang w:val="el-GR"/>
        </w:rPr>
        <w:t>Υπό αυτά τα δεδομένα</w:t>
      </w:r>
      <w:r w:rsidR="006526DA">
        <w:rPr>
          <w:rStyle w:val="sb8d990e2"/>
          <w:rFonts w:ascii="Bookman Old Style" w:hAnsi="Bookman Old Style" w:cs="Arial"/>
          <w:color w:val="000000"/>
          <w:sz w:val="28"/>
          <w:szCs w:val="28"/>
          <w:lang w:val="el-GR"/>
        </w:rPr>
        <w:t>,</w:t>
      </w:r>
      <w:r>
        <w:rPr>
          <w:rStyle w:val="sb8d990e2"/>
          <w:rFonts w:ascii="Bookman Old Style" w:hAnsi="Bookman Old Style" w:cs="Arial"/>
          <w:color w:val="000000"/>
          <w:sz w:val="28"/>
          <w:szCs w:val="28"/>
          <w:lang w:val="el-GR"/>
        </w:rPr>
        <w:t xml:space="preserve"> η κατάληξη του πρωτόδικου Δικαστηρίου </w:t>
      </w:r>
      <w:r w:rsidR="006526DA">
        <w:rPr>
          <w:rStyle w:val="sb8d990e2"/>
          <w:rFonts w:ascii="Bookman Old Style" w:hAnsi="Bookman Old Style" w:cs="Arial"/>
          <w:color w:val="000000"/>
          <w:sz w:val="28"/>
          <w:szCs w:val="28"/>
          <w:lang w:val="el-GR"/>
        </w:rPr>
        <w:t>περί</w:t>
      </w:r>
      <w:r>
        <w:rPr>
          <w:rStyle w:val="sb8d990e2"/>
          <w:rFonts w:ascii="Bookman Old Style" w:hAnsi="Bookman Old Style" w:cs="Arial"/>
          <w:color w:val="000000"/>
          <w:sz w:val="28"/>
          <w:szCs w:val="28"/>
          <w:lang w:val="el-GR"/>
        </w:rPr>
        <w:t xml:space="preserve"> μη στοιχειοθέτησης </w:t>
      </w:r>
      <w:r w:rsidR="006526DA">
        <w:rPr>
          <w:rStyle w:val="sb8d990e2"/>
          <w:rFonts w:ascii="Bookman Old Style" w:hAnsi="Bookman Old Style" w:cs="Arial"/>
          <w:color w:val="000000"/>
          <w:sz w:val="28"/>
          <w:szCs w:val="28"/>
          <w:lang w:val="el-GR"/>
        </w:rPr>
        <w:t>εκ μέρους του Εφεσείοντα πραγματικού κινδύνου δυσμενούς μεταχείρισης ή παράβασης ανθρωπίνου δικαιώματος</w:t>
      </w:r>
      <w:r w:rsidR="006526DA" w:rsidRPr="006526DA">
        <w:rPr>
          <w:rFonts w:ascii="Bookman Old Style" w:hAnsi="Bookman Old Style" w:cs="Arial"/>
          <w:color w:val="000000"/>
          <w:sz w:val="28"/>
          <w:szCs w:val="28"/>
          <w:lang w:val="el-GR"/>
        </w:rPr>
        <w:t xml:space="preserve"> </w:t>
      </w:r>
      <w:r w:rsidR="006526DA" w:rsidRPr="00F5337A">
        <w:rPr>
          <w:rFonts w:ascii="Bookman Old Style" w:hAnsi="Bookman Old Style" w:cs="Arial"/>
          <w:color w:val="000000"/>
          <w:sz w:val="28"/>
          <w:szCs w:val="28"/>
          <w:lang w:val="el-GR"/>
        </w:rPr>
        <w:t>σε περίπτωση έκδοσης τ</w:t>
      </w:r>
      <w:r w:rsidR="006526DA">
        <w:rPr>
          <w:rFonts w:ascii="Bookman Old Style" w:hAnsi="Bookman Old Style" w:cs="Arial"/>
          <w:color w:val="000000"/>
          <w:sz w:val="28"/>
          <w:szCs w:val="28"/>
          <w:lang w:val="el-GR"/>
        </w:rPr>
        <w:t>ου, καθιστούσε άνευ σημασίας το γεγονός ότι οι όποιες διαβεβαιώσεις από τη Ρωσική Ομοσπονδία πως αυτός δεν θα τύχει δυσμενούς μεταχειρίσεως κατά την εκδίκαση της υπόθεσης</w:t>
      </w:r>
      <w:r w:rsidR="001E00B9">
        <w:rPr>
          <w:rFonts w:ascii="Bookman Old Style" w:hAnsi="Bookman Old Style" w:cs="Arial"/>
          <w:color w:val="000000"/>
          <w:sz w:val="28"/>
          <w:szCs w:val="28"/>
          <w:lang w:val="el-GR"/>
        </w:rPr>
        <w:t xml:space="preserve"> του</w:t>
      </w:r>
      <w:r w:rsidR="006526DA">
        <w:rPr>
          <w:rFonts w:ascii="Bookman Old Style" w:hAnsi="Bookman Old Style" w:cs="Arial"/>
          <w:color w:val="000000"/>
          <w:sz w:val="28"/>
          <w:szCs w:val="28"/>
          <w:lang w:val="el-GR"/>
        </w:rPr>
        <w:t xml:space="preserve"> δεν θα μπορούσαν να θεωρηθούν  ικανοποιητικές.</w:t>
      </w:r>
    </w:p>
    <w:p w14:paraId="3856534D" w14:textId="77777777" w:rsidR="006526DA" w:rsidRDefault="006526DA" w:rsidP="00963265">
      <w:pPr>
        <w:spacing w:line="480" w:lineRule="auto"/>
        <w:ind w:right="-35"/>
        <w:jc w:val="both"/>
        <w:rPr>
          <w:rFonts w:ascii="Bookman Old Style" w:hAnsi="Bookman Old Style" w:cs="Arial"/>
          <w:color w:val="000000"/>
          <w:sz w:val="28"/>
          <w:szCs w:val="28"/>
          <w:lang w:val="el-GR"/>
        </w:rPr>
      </w:pPr>
    </w:p>
    <w:p w14:paraId="757D6298" w14:textId="6A3BDF72" w:rsidR="006526DA" w:rsidRDefault="006526DA" w:rsidP="00963265">
      <w:pPr>
        <w:spacing w:line="480" w:lineRule="auto"/>
        <w:ind w:right="-35"/>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Ως εκ τούτου ο </w:t>
      </w:r>
      <w:r w:rsidRPr="006526DA">
        <w:rPr>
          <w:rFonts w:ascii="Bookman Old Style" w:hAnsi="Bookman Old Style" w:cs="Arial"/>
          <w:b/>
          <w:bCs/>
          <w:color w:val="000000"/>
          <w:sz w:val="28"/>
          <w:szCs w:val="28"/>
          <w:lang w:val="el-GR"/>
        </w:rPr>
        <w:t>2</w:t>
      </w:r>
      <w:r w:rsidRPr="006526DA">
        <w:rPr>
          <w:rFonts w:ascii="Bookman Old Style" w:hAnsi="Bookman Old Style" w:cs="Arial"/>
          <w:b/>
          <w:bCs/>
          <w:color w:val="000000"/>
          <w:sz w:val="28"/>
          <w:szCs w:val="28"/>
          <w:vertAlign w:val="superscript"/>
          <w:lang w:val="el-GR"/>
        </w:rPr>
        <w:t>ος</w:t>
      </w:r>
      <w:r w:rsidRPr="006526DA">
        <w:rPr>
          <w:rFonts w:ascii="Bookman Old Style" w:hAnsi="Bookman Old Style" w:cs="Arial"/>
          <w:b/>
          <w:bCs/>
          <w:color w:val="000000"/>
          <w:sz w:val="28"/>
          <w:szCs w:val="28"/>
          <w:lang w:val="el-GR"/>
        </w:rPr>
        <w:t xml:space="preserve"> Λόγος Έφεσης</w:t>
      </w:r>
      <w:r>
        <w:rPr>
          <w:rFonts w:ascii="Bookman Old Style" w:hAnsi="Bookman Old Style" w:cs="Arial"/>
          <w:color w:val="000000"/>
          <w:sz w:val="28"/>
          <w:szCs w:val="28"/>
          <w:lang w:val="el-GR"/>
        </w:rPr>
        <w:t xml:space="preserve"> απορρίπτεται.</w:t>
      </w:r>
    </w:p>
    <w:p w14:paraId="206510F4" w14:textId="77777777" w:rsidR="006526DA" w:rsidRDefault="006526DA" w:rsidP="00963265">
      <w:pPr>
        <w:spacing w:line="480" w:lineRule="auto"/>
        <w:ind w:right="-35"/>
        <w:jc w:val="both"/>
        <w:rPr>
          <w:rFonts w:ascii="Bookman Old Style" w:hAnsi="Bookman Old Style" w:cs="Arial"/>
          <w:color w:val="000000"/>
          <w:sz w:val="28"/>
          <w:szCs w:val="28"/>
          <w:lang w:val="el-GR"/>
        </w:rPr>
      </w:pPr>
    </w:p>
    <w:p w14:paraId="397C4663" w14:textId="5AB5FF0B" w:rsidR="00054437" w:rsidRDefault="006526DA" w:rsidP="00054437">
      <w:pPr>
        <w:spacing w:line="480" w:lineRule="auto"/>
        <w:ind w:right="-35"/>
        <w:jc w:val="both"/>
        <w:rPr>
          <w:rFonts w:ascii="Bookman Old Style" w:hAnsi="Bookman Old Style" w:cs="Arial"/>
          <w:sz w:val="28"/>
          <w:szCs w:val="28"/>
          <w:lang w:val="el-GR"/>
        </w:rPr>
      </w:pPr>
      <w:r>
        <w:rPr>
          <w:rFonts w:ascii="Bookman Old Style" w:hAnsi="Bookman Old Style" w:cs="Arial"/>
          <w:color w:val="000000"/>
          <w:sz w:val="28"/>
          <w:szCs w:val="28"/>
          <w:lang w:val="el-GR"/>
        </w:rPr>
        <w:t xml:space="preserve">Μέσω του </w:t>
      </w:r>
      <w:r w:rsidRPr="006526DA">
        <w:rPr>
          <w:rFonts w:ascii="Bookman Old Style" w:hAnsi="Bookman Old Style" w:cs="Arial"/>
          <w:b/>
          <w:bCs/>
          <w:color w:val="000000"/>
          <w:sz w:val="28"/>
          <w:szCs w:val="28"/>
          <w:lang w:val="el-GR"/>
        </w:rPr>
        <w:t>3</w:t>
      </w:r>
      <w:r w:rsidRPr="006526DA">
        <w:rPr>
          <w:rFonts w:ascii="Bookman Old Style" w:hAnsi="Bookman Old Style" w:cs="Arial"/>
          <w:b/>
          <w:bCs/>
          <w:color w:val="000000"/>
          <w:sz w:val="28"/>
          <w:szCs w:val="28"/>
          <w:vertAlign w:val="superscript"/>
          <w:lang w:val="el-GR"/>
        </w:rPr>
        <w:t>ου</w:t>
      </w:r>
      <w:r w:rsidRPr="006526DA">
        <w:rPr>
          <w:rFonts w:ascii="Bookman Old Style" w:hAnsi="Bookman Old Style" w:cs="Arial"/>
          <w:b/>
          <w:bCs/>
          <w:color w:val="000000"/>
          <w:sz w:val="28"/>
          <w:szCs w:val="28"/>
          <w:lang w:val="el-GR"/>
        </w:rPr>
        <w:t xml:space="preserve"> Λόγου Έφεσης</w:t>
      </w:r>
      <w:r>
        <w:rPr>
          <w:rFonts w:ascii="Bookman Old Style" w:hAnsi="Bookman Old Style" w:cs="Arial"/>
          <w:color w:val="000000"/>
          <w:sz w:val="28"/>
          <w:szCs w:val="28"/>
          <w:lang w:val="el-GR"/>
        </w:rPr>
        <w:t xml:space="preserve"> ο Εφεσείων διατείνεται ότι </w:t>
      </w:r>
      <w:r w:rsidR="00054437">
        <w:rPr>
          <w:rFonts w:ascii="Bookman Old Style" w:hAnsi="Bookman Old Style" w:cs="Arial"/>
          <w:color w:val="000000"/>
          <w:sz w:val="28"/>
          <w:szCs w:val="28"/>
          <w:lang w:val="el-GR"/>
        </w:rPr>
        <w:t>ενώ το πρωτόδικο Δικαστήριο είχε διαπιστώσει ότι το Κατώτερο Δικαστήριο εξέδωσε Διάταγμα έκδοσης χωρίς να έχει τέτοια εξουσία</w:t>
      </w:r>
      <w:r w:rsidR="00326E01" w:rsidRPr="00326E01">
        <w:rPr>
          <w:rFonts w:ascii="Bookman Old Style" w:hAnsi="Bookman Old Style" w:cs="Arial"/>
          <w:color w:val="000000"/>
          <w:sz w:val="28"/>
          <w:szCs w:val="28"/>
          <w:lang w:val="el-GR"/>
        </w:rPr>
        <w:t>,</w:t>
      </w:r>
      <w:r w:rsidR="00054437" w:rsidRPr="00054437">
        <w:rPr>
          <w:rFonts w:ascii="Bookman Old Style" w:hAnsi="Bookman Old Style" w:cs="Arial"/>
          <w:sz w:val="28"/>
          <w:szCs w:val="28"/>
          <w:lang w:val="el-GR"/>
        </w:rPr>
        <w:t xml:space="preserve"> </w:t>
      </w:r>
      <w:r w:rsidR="00054437">
        <w:rPr>
          <w:rFonts w:ascii="Bookman Old Style" w:hAnsi="Bookman Old Style" w:cs="Arial"/>
          <w:sz w:val="28"/>
          <w:szCs w:val="28"/>
          <w:lang w:val="el-GR"/>
        </w:rPr>
        <w:t>δεν ακύρωσε την Απόφαση του, ως όφειλε, αλλά συνέχισε εξετάζοντας τους λοιπούς λόγους ακύρωσης.</w:t>
      </w:r>
    </w:p>
    <w:p w14:paraId="1CBBDC4F" w14:textId="77777777" w:rsidR="00CC1C53" w:rsidRDefault="00CC1C53" w:rsidP="00054437">
      <w:pPr>
        <w:spacing w:line="480" w:lineRule="auto"/>
        <w:ind w:right="-35"/>
        <w:jc w:val="both"/>
        <w:rPr>
          <w:rFonts w:ascii="Bookman Old Style" w:hAnsi="Bookman Old Style" w:cs="Arial"/>
          <w:sz w:val="28"/>
          <w:szCs w:val="28"/>
          <w:lang w:val="el-GR"/>
        </w:rPr>
      </w:pPr>
    </w:p>
    <w:p w14:paraId="63434A41" w14:textId="13AE6BE4" w:rsidR="00AF614B" w:rsidRDefault="00054437" w:rsidP="00054437">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Όπως προκύπτει από την Απόφαση του</w:t>
      </w:r>
      <w:r w:rsidR="00862D29">
        <w:rPr>
          <w:rFonts w:ascii="Bookman Old Style" w:hAnsi="Bookman Old Style" w:cs="Arial"/>
          <w:sz w:val="28"/>
          <w:szCs w:val="28"/>
          <w:lang w:val="el-GR"/>
        </w:rPr>
        <w:t>, το</w:t>
      </w:r>
      <w:r>
        <w:rPr>
          <w:rFonts w:ascii="Bookman Old Style" w:hAnsi="Bookman Old Style" w:cs="Arial"/>
          <w:sz w:val="28"/>
          <w:szCs w:val="28"/>
          <w:lang w:val="el-GR"/>
        </w:rPr>
        <w:t xml:space="preserve"> πρωτόδικο Δικαστ</w:t>
      </w:r>
      <w:r w:rsidR="00862D29">
        <w:rPr>
          <w:rFonts w:ascii="Bookman Old Style" w:hAnsi="Bookman Old Style" w:cs="Arial"/>
          <w:sz w:val="28"/>
          <w:szCs w:val="28"/>
          <w:lang w:val="el-GR"/>
        </w:rPr>
        <w:t>ήριο,</w:t>
      </w:r>
      <w:r>
        <w:rPr>
          <w:rFonts w:ascii="Bookman Old Style" w:hAnsi="Bookman Old Style" w:cs="Arial"/>
          <w:sz w:val="28"/>
          <w:szCs w:val="28"/>
          <w:lang w:val="el-GR"/>
        </w:rPr>
        <w:t xml:space="preserve"> </w:t>
      </w:r>
      <w:r w:rsidR="00862D29">
        <w:rPr>
          <w:rFonts w:ascii="Bookman Old Style" w:hAnsi="Bookman Old Style" w:cs="Arial"/>
          <w:sz w:val="28"/>
          <w:szCs w:val="28"/>
          <w:lang w:val="el-GR"/>
        </w:rPr>
        <w:t>αφού επεσήμανε ότι η εξουσία του Επαρχιακού Δικαστηρίου περιορίζεται στο «</w:t>
      </w:r>
      <w:r w:rsidR="00862D29" w:rsidRPr="00AF614B">
        <w:rPr>
          <w:rFonts w:ascii="Bookman Old Style" w:hAnsi="Bookman Old Style" w:cs="Arial"/>
          <w:i/>
          <w:iCs/>
          <w:sz w:val="28"/>
          <w:szCs w:val="28"/>
          <w:lang w:val="el-GR"/>
        </w:rPr>
        <w:t>να διατάξει την προφυλάκισιν αυτού [του εκζητουμένου] μέχρις ου χωρήση η έκδοσις</w:t>
      </w:r>
      <w:r w:rsidR="00862D29">
        <w:rPr>
          <w:rFonts w:ascii="Bookman Old Style" w:hAnsi="Bookman Old Style" w:cs="Arial"/>
          <w:sz w:val="28"/>
          <w:szCs w:val="28"/>
          <w:lang w:val="el-GR"/>
        </w:rPr>
        <w:t>»</w:t>
      </w:r>
      <w:r w:rsidR="00790A40">
        <w:rPr>
          <w:rStyle w:val="FootnoteReference"/>
          <w:rFonts w:ascii="Bookman Old Style" w:hAnsi="Bookman Old Style" w:cs="Arial"/>
          <w:sz w:val="28"/>
          <w:szCs w:val="28"/>
          <w:lang w:val="el-GR"/>
        </w:rPr>
        <w:footnoteReference w:id="3"/>
      </w:r>
      <w:r w:rsidR="00862D29" w:rsidRPr="00862D29">
        <w:rPr>
          <w:rFonts w:ascii="Bookman Old Style" w:hAnsi="Bookman Old Style" w:cs="Arial"/>
          <w:sz w:val="28"/>
          <w:szCs w:val="28"/>
          <w:lang w:val="el-GR"/>
        </w:rPr>
        <w:t>,</w:t>
      </w:r>
      <w:r w:rsidR="00862D29">
        <w:rPr>
          <w:rFonts w:ascii="Bookman Old Style" w:hAnsi="Bookman Old Style" w:cs="Arial"/>
          <w:sz w:val="28"/>
          <w:szCs w:val="28"/>
          <w:lang w:val="el-GR"/>
        </w:rPr>
        <w:t xml:space="preserve"> </w:t>
      </w:r>
      <w:r w:rsidR="00326E01">
        <w:rPr>
          <w:rFonts w:ascii="Bookman Old Style" w:hAnsi="Bookman Old Style" w:cs="Arial"/>
          <w:sz w:val="28"/>
          <w:szCs w:val="28"/>
          <w:lang w:val="el-GR"/>
        </w:rPr>
        <w:t xml:space="preserve">και ότι δεν είναι τα δικαστήρια που έχουν αρμοδιότητα να εκδίδουν διατάγματα έκδοσης αλλά ο Υπουργός Δικαιοσύνης, </w:t>
      </w:r>
      <w:r>
        <w:rPr>
          <w:rFonts w:ascii="Bookman Old Style" w:hAnsi="Bookman Old Style" w:cs="Arial"/>
          <w:sz w:val="28"/>
          <w:szCs w:val="28"/>
          <w:lang w:val="el-GR"/>
        </w:rPr>
        <w:t>εν είδη διόρθωσης στον ορθό τρόπο διατύπωσης της απόφασης του Κατώτερου Δικαστηρίου</w:t>
      </w:r>
      <w:r w:rsidR="00AF614B">
        <w:rPr>
          <w:rFonts w:ascii="Bookman Old Style" w:hAnsi="Bookman Old Style" w:cs="Arial"/>
          <w:sz w:val="28"/>
          <w:szCs w:val="28"/>
          <w:lang w:val="el-GR"/>
        </w:rPr>
        <w:t xml:space="preserve">, παρέπεμψε στην υπόθεση </w:t>
      </w:r>
      <w:r w:rsidR="00AF614B" w:rsidRPr="00AF614B">
        <w:rPr>
          <w:rFonts w:ascii="Bookman Old Style" w:hAnsi="Bookman Old Style" w:cs="Arial"/>
          <w:b/>
          <w:bCs/>
          <w:i/>
          <w:iCs/>
          <w:sz w:val="28"/>
          <w:szCs w:val="28"/>
          <w:lang w:val="el-GR"/>
        </w:rPr>
        <w:t xml:space="preserve">Γενικός Εισαγγελέας </w:t>
      </w:r>
      <w:r w:rsidR="00AF614B" w:rsidRPr="00AF614B">
        <w:rPr>
          <w:rFonts w:ascii="Bookman Old Style" w:hAnsi="Bookman Old Style" w:cs="Arial"/>
          <w:b/>
          <w:bCs/>
          <w:i/>
          <w:iCs/>
          <w:sz w:val="28"/>
          <w:szCs w:val="28"/>
          <w:lang w:val="en-US"/>
        </w:rPr>
        <w:t>v</w:t>
      </w:r>
      <w:r w:rsidR="00AF614B" w:rsidRPr="00AF614B">
        <w:rPr>
          <w:rFonts w:ascii="Bookman Old Style" w:hAnsi="Bookman Old Style" w:cs="Arial"/>
          <w:b/>
          <w:bCs/>
          <w:i/>
          <w:iCs/>
          <w:sz w:val="28"/>
          <w:szCs w:val="28"/>
          <w:lang w:val="el-GR"/>
        </w:rPr>
        <w:t>. Χαρατσίδης (2016) 1 Α.Α.Δ.</w:t>
      </w:r>
      <w:r w:rsidR="00AE511F">
        <w:rPr>
          <w:rFonts w:ascii="Bookman Old Style" w:hAnsi="Bookman Old Style" w:cs="Arial"/>
          <w:b/>
          <w:bCs/>
          <w:i/>
          <w:iCs/>
          <w:sz w:val="28"/>
          <w:szCs w:val="28"/>
          <w:lang w:val="el-GR"/>
        </w:rPr>
        <w:t xml:space="preserve"> </w:t>
      </w:r>
      <w:r w:rsidR="00AF614B" w:rsidRPr="00AF614B">
        <w:rPr>
          <w:rFonts w:ascii="Bookman Old Style" w:hAnsi="Bookman Old Style" w:cs="Arial"/>
          <w:b/>
          <w:bCs/>
          <w:i/>
          <w:iCs/>
          <w:sz w:val="28"/>
          <w:szCs w:val="28"/>
          <w:lang w:val="el-GR"/>
        </w:rPr>
        <w:t>825</w:t>
      </w:r>
      <w:r w:rsidR="00AE511F">
        <w:rPr>
          <w:rFonts w:ascii="Bookman Old Style" w:hAnsi="Bookman Old Style" w:cs="Arial"/>
          <w:sz w:val="28"/>
          <w:szCs w:val="28"/>
          <w:lang w:val="el-GR"/>
        </w:rPr>
        <w:t>,</w:t>
      </w:r>
      <w:r w:rsidR="00AF614B">
        <w:rPr>
          <w:rFonts w:ascii="Bookman Old Style" w:hAnsi="Bookman Old Style" w:cs="Arial"/>
          <w:sz w:val="28"/>
          <w:szCs w:val="28"/>
          <w:lang w:val="el-GR"/>
        </w:rPr>
        <w:t xml:space="preserve"> όπου η Ολομέλεια σημείωσε</w:t>
      </w:r>
      <w:r w:rsidR="00790A40">
        <w:rPr>
          <w:rFonts w:ascii="Bookman Old Style" w:hAnsi="Bookman Old Style" w:cs="Arial"/>
          <w:sz w:val="28"/>
          <w:szCs w:val="28"/>
          <w:lang w:val="el-GR"/>
        </w:rPr>
        <w:t xml:space="preserve"> καταληκτικά</w:t>
      </w:r>
      <w:r w:rsidR="00AF614B">
        <w:rPr>
          <w:rFonts w:ascii="Bookman Old Style" w:hAnsi="Bookman Old Style" w:cs="Arial"/>
          <w:sz w:val="28"/>
          <w:szCs w:val="28"/>
          <w:lang w:val="el-GR"/>
        </w:rPr>
        <w:t xml:space="preserve"> ότι το Επαρχιακό Δικαστήριο ορθά είχε κρίνει ότι πληρούνταν οι προϋποθέσεις έκδοσης του εφεσιβλήτου με συνακόλουθη την κράτηση του μέχρις ότου χωρήσει η έκδοση.</w:t>
      </w:r>
      <w:r w:rsidR="00887B1D" w:rsidRPr="00887B1D">
        <w:rPr>
          <w:rFonts w:ascii="Bookman Old Style" w:hAnsi="Bookman Old Style" w:cs="Arial"/>
          <w:sz w:val="28"/>
          <w:szCs w:val="28"/>
          <w:lang w:val="el-GR"/>
        </w:rPr>
        <w:t xml:space="preserve"> </w:t>
      </w:r>
      <w:r w:rsidR="00887B1D">
        <w:rPr>
          <w:rFonts w:ascii="Bookman Old Style" w:hAnsi="Bookman Old Style" w:cs="Arial"/>
          <w:sz w:val="28"/>
          <w:szCs w:val="28"/>
          <w:lang w:val="en-US"/>
        </w:rPr>
        <w:t>H</w:t>
      </w:r>
      <w:r w:rsidR="00887B1D">
        <w:rPr>
          <w:rFonts w:ascii="Bookman Old Style" w:hAnsi="Bookman Old Style" w:cs="Arial"/>
          <w:sz w:val="28"/>
          <w:szCs w:val="28"/>
          <w:lang w:val="el-GR"/>
        </w:rPr>
        <w:t xml:space="preserve"> εν λόγω αναφορά</w:t>
      </w:r>
      <w:r w:rsidR="00887B1D" w:rsidRPr="00887B1D">
        <w:rPr>
          <w:rFonts w:ascii="Bookman Old Style" w:hAnsi="Bookman Old Style" w:cs="Arial"/>
          <w:sz w:val="28"/>
          <w:szCs w:val="28"/>
          <w:lang w:val="el-GR"/>
        </w:rPr>
        <w:t>,</w:t>
      </w:r>
      <w:r w:rsidR="00887B1D">
        <w:rPr>
          <w:rFonts w:ascii="Bookman Old Style" w:hAnsi="Bookman Old Style" w:cs="Arial"/>
          <w:sz w:val="28"/>
          <w:szCs w:val="28"/>
          <w:lang w:val="el-GR"/>
        </w:rPr>
        <w:t xml:space="preserve"> όπως ορθά επισημαίνεται από την ευπ</w:t>
      </w:r>
      <w:r w:rsidR="00326E01">
        <w:rPr>
          <w:rFonts w:ascii="Bookman Old Style" w:hAnsi="Bookman Old Style" w:cs="Arial"/>
          <w:sz w:val="28"/>
          <w:szCs w:val="28"/>
          <w:lang w:val="el-GR"/>
        </w:rPr>
        <w:t>αί</w:t>
      </w:r>
      <w:r w:rsidR="00887B1D">
        <w:rPr>
          <w:rFonts w:ascii="Bookman Old Style" w:hAnsi="Bookman Old Style" w:cs="Arial"/>
          <w:sz w:val="28"/>
          <w:szCs w:val="28"/>
          <w:lang w:val="el-GR"/>
        </w:rPr>
        <w:t>δευτη συνήγορο για το Γενικό Εισαγγελέα</w:t>
      </w:r>
      <w:r w:rsidR="00887B1D" w:rsidRPr="00887B1D">
        <w:rPr>
          <w:rFonts w:ascii="Bookman Old Style" w:hAnsi="Bookman Old Style" w:cs="Arial"/>
          <w:sz w:val="28"/>
          <w:szCs w:val="28"/>
          <w:lang w:val="el-GR"/>
        </w:rPr>
        <w:t>,</w:t>
      </w:r>
      <w:r w:rsidR="00887B1D">
        <w:rPr>
          <w:rFonts w:ascii="Bookman Old Style" w:hAnsi="Bookman Old Style" w:cs="Arial"/>
          <w:sz w:val="28"/>
          <w:szCs w:val="28"/>
          <w:lang w:val="el-GR"/>
        </w:rPr>
        <w:t xml:space="preserve"> έγινε</w:t>
      </w:r>
      <w:r w:rsidR="00D44402" w:rsidRPr="00D44402">
        <w:rPr>
          <w:rFonts w:ascii="Bookman Old Style" w:hAnsi="Bookman Old Style" w:cs="Arial"/>
          <w:sz w:val="28"/>
          <w:szCs w:val="28"/>
          <w:lang w:val="el-GR"/>
        </w:rPr>
        <w:t xml:space="preserve"> </w:t>
      </w:r>
      <w:r w:rsidR="00D44402">
        <w:rPr>
          <w:rFonts w:ascii="Bookman Old Style" w:hAnsi="Bookman Old Style" w:cs="Arial"/>
          <w:sz w:val="28"/>
          <w:szCs w:val="28"/>
          <w:lang w:val="el-GR"/>
        </w:rPr>
        <w:t>ειρήσθω εν παρόδω, ήτοι</w:t>
      </w:r>
      <w:r w:rsidR="00887B1D">
        <w:rPr>
          <w:rFonts w:ascii="Bookman Old Style" w:hAnsi="Bookman Old Style" w:cs="Arial"/>
          <w:sz w:val="28"/>
          <w:szCs w:val="28"/>
          <w:lang w:val="el-GR"/>
        </w:rPr>
        <w:t xml:space="preserve"> υπό μορφή </w:t>
      </w:r>
      <w:r w:rsidR="00887B1D" w:rsidRPr="00326E01">
        <w:rPr>
          <w:rFonts w:ascii="Bookman Old Style" w:hAnsi="Bookman Old Style" w:cs="Arial"/>
          <w:i/>
          <w:iCs/>
          <w:sz w:val="28"/>
          <w:szCs w:val="28"/>
          <w:lang w:val="en-US"/>
        </w:rPr>
        <w:t>obiter</w:t>
      </w:r>
      <w:r w:rsidR="00887B1D" w:rsidRPr="00326E01">
        <w:rPr>
          <w:rFonts w:ascii="Bookman Old Style" w:hAnsi="Bookman Old Style" w:cs="Arial"/>
          <w:i/>
          <w:iCs/>
          <w:sz w:val="28"/>
          <w:szCs w:val="28"/>
          <w:lang w:val="el-GR"/>
        </w:rPr>
        <w:t xml:space="preserve"> </w:t>
      </w:r>
      <w:r w:rsidR="00887B1D" w:rsidRPr="00326E01">
        <w:rPr>
          <w:rFonts w:ascii="Bookman Old Style" w:hAnsi="Bookman Old Style" w:cs="Arial"/>
          <w:i/>
          <w:iCs/>
          <w:sz w:val="28"/>
          <w:szCs w:val="28"/>
          <w:lang w:val="en-US"/>
        </w:rPr>
        <w:t>dicta</w:t>
      </w:r>
      <w:r w:rsidR="00887B1D">
        <w:rPr>
          <w:rFonts w:ascii="Bookman Old Style" w:hAnsi="Bookman Old Style" w:cs="Arial"/>
          <w:sz w:val="28"/>
          <w:szCs w:val="28"/>
          <w:lang w:val="el-GR"/>
        </w:rPr>
        <w:t xml:space="preserve"> χωρίς να αποτελεί</w:t>
      </w:r>
      <w:r w:rsidR="00D44402">
        <w:rPr>
          <w:rFonts w:ascii="Bookman Old Style" w:hAnsi="Bookman Old Style" w:cs="Arial"/>
          <w:sz w:val="28"/>
          <w:szCs w:val="28"/>
          <w:lang w:val="el-GR"/>
        </w:rPr>
        <w:t xml:space="preserve"> μέρος της κατάληξης του Δικαστηρίου</w:t>
      </w:r>
      <w:r w:rsidR="00BB3C55">
        <w:rPr>
          <w:rFonts w:ascii="Bookman Old Style" w:hAnsi="Bookman Old Style" w:cs="Arial"/>
          <w:sz w:val="28"/>
          <w:szCs w:val="28"/>
          <w:lang w:val="el-GR"/>
        </w:rPr>
        <w:t xml:space="preserve"> αλλά ως «</w:t>
      </w:r>
      <w:r w:rsidR="00BB3C55" w:rsidRPr="001E00B9">
        <w:rPr>
          <w:rFonts w:ascii="Bookman Old Style" w:hAnsi="Bookman Old Style" w:cs="Arial"/>
          <w:i/>
          <w:iCs/>
          <w:sz w:val="28"/>
          <w:szCs w:val="28"/>
          <w:lang w:val="el-GR"/>
        </w:rPr>
        <w:t>μια αναγκαία διόρθωση</w:t>
      </w:r>
      <w:r w:rsidR="00BB3C55">
        <w:rPr>
          <w:rFonts w:ascii="Bookman Old Style" w:hAnsi="Bookman Old Style" w:cs="Arial"/>
          <w:sz w:val="28"/>
          <w:szCs w:val="28"/>
          <w:lang w:val="el-GR"/>
        </w:rPr>
        <w:t>», όπως το έθεσε, πριν προχωρήσει στην εξέταση των ζητημάτων που εγείροντο.</w:t>
      </w:r>
      <w:r w:rsidR="00326E01">
        <w:rPr>
          <w:rFonts w:ascii="Bookman Old Style" w:hAnsi="Bookman Old Style" w:cs="Arial"/>
          <w:sz w:val="28"/>
          <w:szCs w:val="28"/>
          <w:lang w:val="el-GR"/>
        </w:rPr>
        <w:t xml:space="preserve"> Ως εκ τούτου</w:t>
      </w:r>
      <w:r w:rsidR="00AE511F">
        <w:rPr>
          <w:rFonts w:ascii="Bookman Old Style" w:hAnsi="Bookman Old Style" w:cs="Arial"/>
          <w:sz w:val="28"/>
          <w:szCs w:val="28"/>
          <w:lang w:val="el-GR"/>
        </w:rPr>
        <w:t>,</w:t>
      </w:r>
      <w:r w:rsidR="00326E01">
        <w:rPr>
          <w:rFonts w:ascii="Bookman Old Style" w:hAnsi="Bookman Old Style" w:cs="Arial"/>
          <w:sz w:val="28"/>
          <w:szCs w:val="28"/>
          <w:lang w:val="el-GR"/>
        </w:rPr>
        <w:t xml:space="preserve"> δεν ετίθετο οποιοδήποτε ζήτημα και μάλιστα της μορφής που υποστηρίχθηκε από πλευράς Εφεσείοντα.</w:t>
      </w:r>
    </w:p>
    <w:p w14:paraId="6D44A702" w14:textId="77777777" w:rsidR="00326E01" w:rsidRDefault="00326E01" w:rsidP="00054437">
      <w:pPr>
        <w:spacing w:line="480" w:lineRule="auto"/>
        <w:ind w:right="-35"/>
        <w:jc w:val="both"/>
        <w:rPr>
          <w:rFonts w:ascii="Bookman Old Style" w:hAnsi="Bookman Old Style" w:cs="Arial"/>
          <w:sz w:val="28"/>
          <w:szCs w:val="28"/>
          <w:lang w:val="el-GR"/>
        </w:rPr>
      </w:pPr>
    </w:p>
    <w:p w14:paraId="7B00BCE5" w14:textId="31B13202" w:rsidR="00326E01" w:rsidRDefault="00326E01" w:rsidP="00054437">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Δεδομένων των πιο πάνω και ο </w:t>
      </w:r>
      <w:r w:rsidRPr="00326E01">
        <w:rPr>
          <w:rFonts w:ascii="Bookman Old Style" w:hAnsi="Bookman Old Style" w:cs="Arial"/>
          <w:b/>
          <w:bCs/>
          <w:sz w:val="28"/>
          <w:szCs w:val="28"/>
          <w:lang w:val="el-GR"/>
        </w:rPr>
        <w:t>3</w:t>
      </w:r>
      <w:r w:rsidRPr="00326E01">
        <w:rPr>
          <w:rFonts w:ascii="Bookman Old Style" w:hAnsi="Bookman Old Style" w:cs="Arial"/>
          <w:b/>
          <w:bCs/>
          <w:sz w:val="28"/>
          <w:szCs w:val="28"/>
          <w:vertAlign w:val="superscript"/>
          <w:lang w:val="el-GR"/>
        </w:rPr>
        <w:t>ος</w:t>
      </w:r>
      <w:r w:rsidRPr="00326E01">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δεν ευσταθεί και, συνεπώς, απορρίπτεται.</w:t>
      </w:r>
    </w:p>
    <w:p w14:paraId="7F9C58A4" w14:textId="77777777" w:rsidR="00AE511F" w:rsidRDefault="00AE511F" w:rsidP="00054437">
      <w:pPr>
        <w:spacing w:line="480" w:lineRule="auto"/>
        <w:ind w:right="-35"/>
        <w:jc w:val="both"/>
        <w:rPr>
          <w:rFonts w:ascii="Bookman Old Style" w:hAnsi="Bookman Old Style" w:cs="Arial"/>
          <w:sz w:val="28"/>
          <w:szCs w:val="28"/>
          <w:lang w:val="el-GR"/>
        </w:rPr>
      </w:pPr>
    </w:p>
    <w:p w14:paraId="10B7E616" w14:textId="323D4DE9" w:rsidR="00AD35F6" w:rsidRPr="00AD35F6" w:rsidRDefault="00AD35F6" w:rsidP="00054437">
      <w:pPr>
        <w:spacing w:line="480" w:lineRule="auto"/>
        <w:ind w:right="-35"/>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Εν κατακλείδι είναι η κρίση μας ό</w:t>
      </w:r>
      <w:r w:rsidRPr="00AD35F6">
        <w:rPr>
          <w:rFonts w:ascii="Bookman Old Style" w:hAnsi="Bookman Old Style" w:cs="Arial"/>
          <w:color w:val="000000"/>
          <w:sz w:val="28"/>
          <w:szCs w:val="28"/>
          <w:lang w:val="el-GR"/>
        </w:rPr>
        <w:t>τι το πρωτόδικο Δικαστήριο, αφού εξέτασε εν εκτάσει τους προβληθέντες ισχυρισμούς και όλα τα εγερθέντα ζητήματα σε συνάρτηση με τα ενώπιον του στοιχεία, εφάρμοσε ορθά τη νομολογία στις περιστάσεις της υπόθεσης.</w:t>
      </w:r>
    </w:p>
    <w:p w14:paraId="61DD8B59" w14:textId="77777777" w:rsidR="00AD35F6" w:rsidRPr="00AD35F6" w:rsidRDefault="00AD35F6" w:rsidP="00054437">
      <w:pPr>
        <w:spacing w:line="480" w:lineRule="auto"/>
        <w:ind w:right="-35"/>
        <w:jc w:val="both"/>
        <w:rPr>
          <w:rFonts w:ascii="Bookman Old Style" w:hAnsi="Bookman Old Style" w:cs="Arial"/>
          <w:color w:val="000000"/>
          <w:sz w:val="28"/>
          <w:szCs w:val="28"/>
          <w:lang w:val="el-GR"/>
        </w:rPr>
      </w:pPr>
    </w:p>
    <w:p w14:paraId="47680594" w14:textId="4F688069" w:rsidR="00AD35F6" w:rsidRDefault="00AD35F6" w:rsidP="00054437">
      <w:pPr>
        <w:spacing w:line="480" w:lineRule="auto"/>
        <w:ind w:right="-35"/>
        <w:jc w:val="both"/>
        <w:rPr>
          <w:rFonts w:ascii="Bookman Old Style" w:hAnsi="Bookman Old Style" w:cs="Arial"/>
          <w:color w:val="000000"/>
          <w:sz w:val="28"/>
          <w:szCs w:val="28"/>
          <w:lang w:val="el-GR"/>
        </w:rPr>
      </w:pPr>
      <w:r w:rsidRPr="00AD35F6">
        <w:rPr>
          <w:rFonts w:ascii="Bookman Old Style" w:hAnsi="Bookman Old Style" w:cs="Arial"/>
          <w:b/>
          <w:bCs/>
          <w:color w:val="000000"/>
          <w:sz w:val="28"/>
          <w:szCs w:val="28"/>
          <w:lang w:val="el-GR"/>
        </w:rPr>
        <w:t>Η Έφεση απορρίπτεται</w:t>
      </w:r>
      <w:r w:rsidRPr="00AD35F6">
        <w:rPr>
          <w:rFonts w:ascii="Bookman Old Style" w:hAnsi="Bookman Old Style" w:cs="Arial"/>
          <w:color w:val="000000"/>
          <w:sz w:val="28"/>
          <w:szCs w:val="28"/>
          <w:lang w:val="el-GR"/>
        </w:rPr>
        <w:t>.</w:t>
      </w:r>
    </w:p>
    <w:p w14:paraId="3FE56032" w14:textId="77777777" w:rsidR="006E65C3" w:rsidRDefault="006E65C3" w:rsidP="00054437">
      <w:pPr>
        <w:spacing w:line="480" w:lineRule="auto"/>
        <w:ind w:right="-35"/>
        <w:jc w:val="both"/>
        <w:rPr>
          <w:rFonts w:ascii="Bookman Old Style" w:hAnsi="Bookman Old Style" w:cs="Arial"/>
          <w:color w:val="000000"/>
          <w:sz w:val="28"/>
          <w:szCs w:val="28"/>
          <w:lang w:val="el-GR"/>
        </w:rPr>
      </w:pPr>
    </w:p>
    <w:p w14:paraId="17CA2370" w14:textId="0A8AFD4E" w:rsidR="006E65C3" w:rsidRDefault="006E65C3" w:rsidP="00054437">
      <w:pPr>
        <w:spacing w:line="480" w:lineRule="auto"/>
        <w:ind w:right="-35"/>
        <w:jc w:val="both"/>
        <w:rPr>
          <w:rFonts w:ascii="Bookman Old Style" w:hAnsi="Bookman Old Style" w:cs="Arial"/>
          <w:color w:val="000000"/>
          <w:sz w:val="28"/>
          <w:szCs w:val="28"/>
          <w:lang w:val="el-GR"/>
        </w:rPr>
      </w:pPr>
      <w:r w:rsidRPr="006E65C3">
        <w:rPr>
          <w:rFonts w:ascii="Bookman Old Style" w:hAnsi="Bookman Old Style" w:cs="Arial"/>
          <w:b/>
          <w:bCs/>
          <w:color w:val="000000"/>
          <w:sz w:val="28"/>
          <w:szCs w:val="28"/>
          <w:lang w:val="el-GR"/>
        </w:rPr>
        <w:t xml:space="preserve">Ο Εφεσείων </w:t>
      </w:r>
      <w:r>
        <w:rPr>
          <w:rFonts w:ascii="Bookman Old Style" w:hAnsi="Bookman Old Style" w:cs="Arial"/>
          <w:b/>
          <w:bCs/>
          <w:color w:val="000000"/>
          <w:sz w:val="28"/>
          <w:szCs w:val="28"/>
          <w:lang w:val="el-GR"/>
        </w:rPr>
        <w:t>να παραμείνει υπό κράτηση μέχρις ότου χωρήσει η έκδοσή του</w:t>
      </w:r>
      <w:r w:rsidRPr="006E65C3">
        <w:rPr>
          <w:rFonts w:ascii="Bookman Old Style" w:hAnsi="Bookman Old Style" w:cs="Arial"/>
          <w:color w:val="000000"/>
          <w:sz w:val="28"/>
          <w:szCs w:val="28"/>
          <w:lang w:val="el-GR"/>
        </w:rPr>
        <w:t>.</w:t>
      </w:r>
    </w:p>
    <w:p w14:paraId="6DE0D181" w14:textId="77777777" w:rsidR="006E65C3" w:rsidRDefault="006E65C3" w:rsidP="00054437">
      <w:pPr>
        <w:spacing w:line="480" w:lineRule="auto"/>
        <w:ind w:right="-35"/>
        <w:jc w:val="both"/>
        <w:rPr>
          <w:rFonts w:ascii="Bookman Old Style" w:hAnsi="Bookman Old Style" w:cs="Arial"/>
          <w:b/>
          <w:bCs/>
          <w:color w:val="000000"/>
          <w:sz w:val="28"/>
          <w:szCs w:val="28"/>
          <w:lang w:val="el-GR"/>
        </w:rPr>
      </w:pPr>
    </w:p>
    <w:p w14:paraId="3730C9EB" w14:textId="77777777" w:rsidR="006E65C3" w:rsidRPr="006E65C3" w:rsidRDefault="006E65C3" w:rsidP="00054437">
      <w:pPr>
        <w:spacing w:line="480" w:lineRule="auto"/>
        <w:ind w:right="-35"/>
        <w:jc w:val="both"/>
        <w:rPr>
          <w:rFonts w:ascii="Bookman Old Style" w:hAnsi="Bookman Old Style" w:cs="Arial"/>
          <w:b/>
          <w:bCs/>
          <w:color w:val="000000"/>
          <w:sz w:val="28"/>
          <w:szCs w:val="28"/>
          <w:lang w:val="el-GR"/>
        </w:rPr>
      </w:pPr>
    </w:p>
    <w:p w14:paraId="14A88AF8" w14:textId="77777777" w:rsidR="00BB3C55" w:rsidRDefault="00BB3C55" w:rsidP="00054437">
      <w:pPr>
        <w:spacing w:line="480" w:lineRule="auto"/>
        <w:ind w:right="-35"/>
        <w:jc w:val="both"/>
        <w:rPr>
          <w:rFonts w:ascii="Bookman Old Style" w:hAnsi="Bookman Old Style" w:cs="Arial"/>
          <w:sz w:val="28"/>
          <w:szCs w:val="28"/>
          <w:lang w:val="el-GR"/>
        </w:rPr>
      </w:pPr>
    </w:p>
    <w:p w14:paraId="0451C9BF" w14:textId="77777777" w:rsidR="001E00B9" w:rsidRDefault="001E00B9" w:rsidP="00054437">
      <w:pPr>
        <w:spacing w:line="480" w:lineRule="auto"/>
        <w:ind w:right="-35"/>
        <w:jc w:val="both"/>
        <w:rPr>
          <w:rFonts w:ascii="Bookman Old Style" w:hAnsi="Bookman Old Style" w:cs="Arial"/>
          <w:sz w:val="28"/>
          <w:szCs w:val="28"/>
          <w:lang w:val="el-GR"/>
        </w:rPr>
      </w:pPr>
    </w:p>
    <w:p w14:paraId="56D07847" w14:textId="77777777" w:rsidR="001E00B9" w:rsidRDefault="001E00B9" w:rsidP="00054437">
      <w:pPr>
        <w:spacing w:line="480" w:lineRule="auto"/>
        <w:ind w:right="-35"/>
        <w:jc w:val="both"/>
        <w:rPr>
          <w:rFonts w:ascii="Bookman Old Style" w:hAnsi="Bookman Old Style" w:cs="Arial"/>
          <w:sz w:val="28"/>
          <w:szCs w:val="28"/>
          <w:lang w:val="el-GR"/>
        </w:rPr>
      </w:pPr>
    </w:p>
    <w:p w14:paraId="66C43BBA" w14:textId="77777777" w:rsidR="001E00B9" w:rsidRPr="00AD35F6" w:rsidRDefault="001E00B9" w:rsidP="00054437">
      <w:pPr>
        <w:spacing w:line="480" w:lineRule="auto"/>
        <w:ind w:right="-35"/>
        <w:jc w:val="both"/>
        <w:rPr>
          <w:rFonts w:ascii="Bookman Old Style" w:hAnsi="Bookman Old Style" w:cs="Arial"/>
          <w:sz w:val="28"/>
          <w:szCs w:val="28"/>
          <w:lang w:val="el-GR"/>
        </w:rPr>
      </w:pPr>
    </w:p>
    <w:p w14:paraId="1CCB1F49" w14:textId="079D0BF2" w:rsidR="006A35A6" w:rsidRDefault="006A35A6"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1E00B9">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0212F562" w14:textId="77777777" w:rsidR="00BB3C55" w:rsidRDefault="00BB3C55" w:rsidP="005B4561">
      <w:pPr>
        <w:spacing w:line="480" w:lineRule="auto"/>
        <w:ind w:right="-35"/>
        <w:jc w:val="both"/>
        <w:rPr>
          <w:rFonts w:ascii="Bookman Old Style" w:hAnsi="Bookman Old Style" w:cs="Arial"/>
          <w:b/>
          <w:sz w:val="28"/>
          <w:szCs w:val="28"/>
          <w:lang w:val="el-GR"/>
        </w:rPr>
      </w:pPr>
    </w:p>
    <w:p w14:paraId="143B01E6" w14:textId="77777777" w:rsidR="001E00B9" w:rsidRDefault="001E00B9" w:rsidP="005B4561">
      <w:pPr>
        <w:spacing w:line="480" w:lineRule="auto"/>
        <w:ind w:right="-35"/>
        <w:jc w:val="both"/>
        <w:rPr>
          <w:rFonts w:ascii="Bookman Old Style" w:hAnsi="Bookman Old Style" w:cs="Arial"/>
          <w:b/>
          <w:sz w:val="28"/>
          <w:szCs w:val="28"/>
          <w:lang w:val="el-GR"/>
        </w:rPr>
      </w:pPr>
    </w:p>
    <w:p w14:paraId="2D3FE0F4" w14:textId="7F458E44" w:rsidR="002B3441" w:rsidRDefault="00422938"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1E00B9">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703B9C25" w14:textId="77777777" w:rsidR="00BB3C55" w:rsidRDefault="00BB3C55" w:rsidP="005B4561">
      <w:pPr>
        <w:spacing w:line="480" w:lineRule="auto"/>
        <w:ind w:right="-35"/>
        <w:jc w:val="both"/>
        <w:rPr>
          <w:rFonts w:ascii="Bookman Old Style" w:hAnsi="Bookman Old Style" w:cs="Arial"/>
          <w:b/>
          <w:sz w:val="28"/>
          <w:szCs w:val="28"/>
          <w:lang w:val="el-GR"/>
        </w:rPr>
      </w:pPr>
    </w:p>
    <w:p w14:paraId="2C64466E" w14:textId="77777777" w:rsidR="001E00B9" w:rsidRDefault="001E00B9" w:rsidP="005B4561">
      <w:pPr>
        <w:spacing w:line="480" w:lineRule="auto"/>
        <w:ind w:right="-35"/>
        <w:jc w:val="both"/>
        <w:rPr>
          <w:rFonts w:ascii="Bookman Old Style" w:hAnsi="Bookman Old Style" w:cs="Arial"/>
          <w:b/>
          <w:sz w:val="28"/>
          <w:szCs w:val="28"/>
          <w:lang w:val="el-GR"/>
        </w:rPr>
      </w:pPr>
    </w:p>
    <w:p w14:paraId="1FA6EC6C" w14:textId="638869CA" w:rsidR="006A35A6" w:rsidRPr="008518F5" w:rsidRDefault="00397480" w:rsidP="005B4561">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1E00B9">
        <w:rPr>
          <w:rFonts w:ascii="Bookman Old Style" w:hAnsi="Bookman Old Style" w:cs="Arial"/>
          <w:b/>
          <w:sz w:val="28"/>
          <w:szCs w:val="28"/>
          <w:lang w:val="el-GR"/>
        </w:rPr>
        <w:t xml:space="preserve">                 </w:t>
      </w:r>
      <w:r>
        <w:rPr>
          <w:rFonts w:ascii="Bookman Old Style" w:hAnsi="Bookman Old Style" w:cs="Arial"/>
          <w:b/>
          <w:sz w:val="28"/>
          <w:szCs w:val="28"/>
          <w:lang w:val="el-GR"/>
        </w:rPr>
        <w:t>Α. ΔΑΥΙΔ, Δ.</w:t>
      </w:r>
    </w:p>
    <w:sectPr w:rsidR="006A35A6" w:rsidRPr="008518F5"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28334" w14:textId="77777777" w:rsidR="001C2717" w:rsidRDefault="001C2717" w:rsidP="00B43113">
      <w:r>
        <w:separator/>
      </w:r>
    </w:p>
  </w:endnote>
  <w:endnote w:type="continuationSeparator" w:id="0">
    <w:p w14:paraId="49E3D2B1" w14:textId="77777777" w:rsidR="001C2717" w:rsidRDefault="001C2717"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2B46" w14:textId="77777777" w:rsidR="001C2717" w:rsidRDefault="001C2717" w:rsidP="00B43113">
      <w:r>
        <w:separator/>
      </w:r>
    </w:p>
  </w:footnote>
  <w:footnote w:type="continuationSeparator" w:id="0">
    <w:p w14:paraId="5AA1A7F5" w14:textId="77777777" w:rsidR="001C2717" w:rsidRDefault="001C2717" w:rsidP="00B43113">
      <w:r>
        <w:continuationSeparator/>
      </w:r>
    </w:p>
  </w:footnote>
  <w:footnote w:id="1">
    <w:p w14:paraId="70E86E0A" w14:textId="3CCCEF8F" w:rsidR="00541D6D" w:rsidRPr="00541D6D" w:rsidRDefault="00541D6D" w:rsidP="00541D6D">
      <w:pPr>
        <w:pStyle w:val="FootnoteText"/>
        <w:spacing w:line="276" w:lineRule="auto"/>
        <w:jc w:val="both"/>
        <w:rPr>
          <w:rFonts w:ascii="Bookman Old Style" w:hAnsi="Bookman Old Style"/>
          <w:i/>
          <w:iCs/>
          <w:sz w:val="22"/>
          <w:szCs w:val="22"/>
          <w:lang w:val="el-GR"/>
        </w:rPr>
      </w:pPr>
      <w:r>
        <w:rPr>
          <w:rStyle w:val="FootnoteReference"/>
        </w:rPr>
        <w:footnoteRef/>
      </w:r>
      <w:r w:rsidRPr="00541D6D">
        <w:rPr>
          <w:lang w:val="el-GR"/>
        </w:rPr>
        <w:t xml:space="preserve"> </w:t>
      </w:r>
      <w:r w:rsidRPr="00541D6D">
        <w:rPr>
          <w:rFonts w:ascii="Bookman Old Style" w:hAnsi="Bookman Old Style"/>
          <w:sz w:val="22"/>
          <w:szCs w:val="22"/>
          <w:lang w:val="el-GR"/>
        </w:rPr>
        <w:t xml:space="preserve">6.—(1) </w:t>
      </w:r>
      <w:r w:rsidRPr="00541D6D">
        <w:rPr>
          <w:rFonts w:ascii="Bookman Old Style" w:hAnsi="Bookman Old Style"/>
          <w:i/>
          <w:iCs/>
          <w:sz w:val="22"/>
          <w:szCs w:val="22"/>
          <w:lang w:val="el-GR"/>
        </w:rPr>
        <w:t xml:space="preserve">Ουδείς θέλει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κδοθή δυνάμει του παρόντος Νόμου ε</w:t>
      </w:r>
      <w:r w:rsidR="003B7AD0">
        <w:rPr>
          <w:rFonts w:ascii="Bookman Old Style" w:hAnsi="Bookman Old Style"/>
          <w:i/>
          <w:iCs/>
          <w:sz w:val="22"/>
          <w:szCs w:val="22"/>
          <w:lang w:val="el-GR"/>
        </w:rPr>
        <w:t>ις</w:t>
      </w:r>
      <w:r w:rsidRPr="00541D6D">
        <w:rPr>
          <w:rFonts w:ascii="Bookman Old Style" w:hAnsi="Bookman Old Style"/>
          <w:i/>
          <w:iCs/>
          <w:sz w:val="22"/>
          <w:szCs w:val="22"/>
          <w:lang w:val="el-GR"/>
        </w:rPr>
        <w:t xml:space="preserve"> Κράτος συνάψαν συνθήκην εκδόσεως μετά της Δημοκρατίας ή ε</w:t>
      </w:r>
      <w:r w:rsidR="003B7AD0">
        <w:rPr>
          <w:rFonts w:ascii="Bookman Old Style" w:hAnsi="Bookman Old Style"/>
          <w:i/>
          <w:iCs/>
          <w:sz w:val="22"/>
          <w:szCs w:val="22"/>
          <w:lang w:val="el-GR"/>
        </w:rPr>
        <w:t>ι</w:t>
      </w:r>
      <w:r w:rsidRPr="00541D6D">
        <w:rPr>
          <w:rFonts w:ascii="Bookman Old Style" w:hAnsi="Bookman Old Style"/>
          <w:i/>
          <w:iCs/>
          <w:sz w:val="22"/>
          <w:szCs w:val="22"/>
          <w:lang w:val="el-GR"/>
        </w:rPr>
        <w:t>ς καθωρισμένην χώραν της Κοινοπολιτείας ουδέ δύναται ν</w:t>
      </w:r>
      <w:r w:rsidR="003B7AD0">
        <w:rPr>
          <w:rFonts w:ascii="Bookman Old Style" w:hAnsi="Bookman Old Style"/>
          <w:i/>
          <w:iCs/>
          <w:sz w:val="22"/>
          <w:szCs w:val="22"/>
          <w:lang w:val="el-GR"/>
        </w:rPr>
        <w:t>α</w:t>
      </w:r>
      <w:r w:rsidRPr="00541D6D">
        <w:rPr>
          <w:rFonts w:ascii="Bookman Old Style" w:hAnsi="Bookman Old Style"/>
          <w:i/>
          <w:iCs/>
          <w:sz w:val="22"/>
          <w:szCs w:val="22"/>
          <w:lang w:val="el-GR"/>
        </w:rPr>
        <w:t xml:space="preserve"> κρατηθή ή ν</w:t>
      </w:r>
      <w:r w:rsidR="003B7AD0">
        <w:rPr>
          <w:rFonts w:ascii="Bookman Old Style" w:hAnsi="Bookman Old Style"/>
          <w:i/>
          <w:iCs/>
          <w:sz w:val="22"/>
          <w:szCs w:val="22"/>
          <w:lang w:val="el-GR"/>
        </w:rPr>
        <w:t>α</w:t>
      </w:r>
      <w:r w:rsidRPr="00541D6D">
        <w:rPr>
          <w:rFonts w:ascii="Bookman Old Style" w:hAnsi="Bookman Old Style"/>
          <w:i/>
          <w:iCs/>
          <w:sz w:val="22"/>
          <w:szCs w:val="22"/>
          <w:lang w:val="el-GR"/>
        </w:rPr>
        <w:t xml:space="preserve">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κδοθή ένταλμα κρατήσεως</w:t>
      </w:r>
      <w:r w:rsidR="003B7AD0">
        <w:rPr>
          <w:rFonts w:ascii="Bookman Old Style" w:hAnsi="Bookman Old Style"/>
          <w:i/>
          <w:iCs/>
          <w:sz w:val="22"/>
          <w:szCs w:val="22"/>
          <w:lang w:val="el-GR"/>
        </w:rPr>
        <w:t xml:space="preserve"> αυτού </w:t>
      </w:r>
      <w:r w:rsidRPr="00541D6D">
        <w:rPr>
          <w:rFonts w:ascii="Bookman Old Style" w:hAnsi="Bookman Old Style"/>
          <w:i/>
          <w:iCs/>
          <w:sz w:val="22"/>
          <w:szCs w:val="22"/>
          <w:lang w:val="el-GR"/>
        </w:rPr>
        <w:t xml:space="preserve">διά τους σκοπούς της τοιαύτης εκδόσεως,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άν ούτος είναι πολίτης της Δημοκρατίας</w:t>
      </w:r>
      <w:r w:rsidR="003B7AD0">
        <w:rPr>
          <w:rFonts w:ascii="Bookman Old Style" w:hAnsi="Bookman Old Style"/>
          <w:i/>
          <w:iCs/>
          <w:sz w:val="22"/>
          <w:szCs w:val="22"/>
          <w:lang w:val="el-GR"/>
        </w:rPr>
        <w:t xml:space="preserve"> εξαιρουμένων των περιπτώσεων που επιτρέπεται από το Σύνταγμα</w:t>
      </w:r>
      <w:r w:rsidRPr="00541D6D">
        <w:rPr>
          <w:rFonts w:ascii="Bookman Old Style" w:hAnsi="Bookman Old Style"/>
          <w:i/>
          <w:iCs/>
          <w:sz w:val="22"/>
          <w:szCs w:val="22"/>
          <w:lang w:val="el-GR"/>
        </w:rPr>
        <w:t xml:space="preserve"> ή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 xml:space="preserve">άν </w:t>
      </w:r>
      <w:r w:rsidR="003B7AD0">
        <w:rPr>
          <w:rFonts w:ascii="Bookman Old Style" w:hAnsi="Bookman Old Style"/>
          <w:i/>
          <w:iCs/>
          <w:sz w:val="22"/>
          <w:szCs w:val="22"/>
          <w:lang w:val="el-GR"/>
        </w:rPr>
        <w:t>ο</w:t>
      </w:r>
      <w:r w:rsidRPr="00541D6D">
        <w:rPr>
          <w:rFonts w:ascii="Bookman Old Style" w:hAnsi="Bookman Old Style"/>
          <w:i/>
          <w:iCs/>
          <w:sz w:val="22"/>
          <w:szCs w:val="22"/>
          <w:lang w:val="el-GR"/>
        </w:rPr>
        <w:t xml:space="preserve"> Υπουργός, τ</w:t>
      </w:r>
      <w:r w:rsidR="003B7AD0">
        <w:rPr>
          <w:rFonts w:ascii="Bookman Old Style" w:hAnsi="Bookman Old Style"/>
          <w:i/>
          <w:iCs/>
          <w:sz w:val="22"/>
          <w:szCs w:val="22"/>
          <w:lang w:val="el-GR"/>
        </w:rPr>
        <w:t>ο</w:t>
      </w:r>
      <w:r w:rsidRPr="00541D6D">
        <w:rPr>
          <w:rFonts w:ascii="Bookman Old Style" w:hAnsi="Bookman Old Style"/>
          <w:i/>
          <w:iCs/>
          <w:sz w:val="22"/>
          <w:szCs w:val="22"/>
          <w:lang w:val="el-GR"/>
        </w:rPr>
        <w:t xml:space="preserve">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κδικάζον τ</w:t>
      </w:r>
      <w:r w:rsidR="003B7AD0">
        <w:rPr>
          <w:rFonts w:ascii="Bookman Old Style" w:hAnsi="Bookman Old Style"/>
          <w:i/>
          <w:iCs/>
          <w:sz w:val="22"/>
          <w:szCs w:val="22"/>
          <w:lang w:val="el-GR"/>
        </w:rPr>
        <w:t>η</w:t>
      </w:r>
      <w:r w:rsidRPr="00541D6D">
        <w:rPr>
          <w:rFonts w:ascii="Bookman Old Style" w:hAnsi="Bookman Old Style"/>
          <w:i/>
          <w:iCs/>
          <w:sz w:val="22"/>
          <w:szCs w:val="22"/>
          <w:lang w:val="el-GR"/>
        </w:rPr>
        <w:t>ν αίτησιν τ</w:t>
      </w:r>
      <w:r w:rsidR="003B7AD0">
        <w:rPr>
          <w:rFonts w:ascii="Bookman Old Style" w:hAnsi="Bookman Old Style"/>
          <w:i/>
          <w:iCs/>
          <w:sz w:val="22"/>
          <w:szCs w:val="22"/>
          <w:lang w:val="el-GR"/>
        </w:rPr>
        <w:t>η</w:t>
      </w:r>
      <w:r w:rsidRPr="00541D6D">
        <w:rPr>
          <w:rFonts w:ascii="Bookman Old Style" w:hAnsi="Bookman Old Style"/>
          <w:i/>
          <w:iCs/>
          <w:sz w:val="22"/>
          <w:szCs w:val="22"/>
          <w:lang w:val="el-GR"/>
        </w:rPr>
        <w:t xml:space="preserve">ς εκδόσεως δικαστήριον ή το επιληφθέν αιτήσεως habeas corpus ή αιτήσεως αναθεωρήσεως </w:t>
      </w:r>
      <w:r w:rsidR="003B7AD0">
        <w:rPr>
          <w:rFonts w:ascii="Bookman Old Style" w:hAnsi="Bookman Old Style"/>
          <w:i/>
          <w:iCs/>
          <w:sz w:val="22"/>
          <w:szCs w:val="22"/>
          <w:lang w:val="el-GR"/>
        </w:rPr>
        <w:t>Α</w:t>
      </w:r>
      <w:r w:rsidRPr="00541D6D">
        <w:rPr>
          <w:rFonts w:ascii="Bookman Old Style" w:hAnsi="Bookman Old Style"/>
          <w:i/>
          <w:iCs/>
          <w:sz w:val="22"/>
          <w:szCs w:val="22"/>
          <w:lang w:val="el-GR"/>
        </w:rPr>
        <w:t>νώτατον Δικαστήριον κρίνη ότι-</w:t>
      </w:r>
    </w:p>
    <w:p w14:paraId="6E5342ED" w14:textId="77777777" w:rsidR="00541D6D" w:rsidRDefault="00541D6D" w:rsidP="00541D6D">
      <w:pPr>
        <w:pStyle w:val="FootnoteText"/>
        <w:spacing w:line="276" w:lineRule="auto"/>
        <w:jc w:val="both"/>
        <w:rPr>
          <w:rFonts w:ascii="Bookman Old Style" w:hAnsi="Bookman Old Style"/>
          <w:i/>
          <w:iCs/>
          <w:sz w:val="22"/>
          <w:szCs w:val="22"/>
          <w:lang w:val="el-GR"/>
        </w:rPr>
      </w:pPr>
    </w:p>
    <w:p w14:paraId="78C5D3A7" w14:textId="77777777" w:rsidR="00541D6D" w:rsidRPr="00541D6D" w:rsidRDefault="00541D6D" w:rsidP="00541D6D">
      <w:pPr>
        <w:pStyle w:val="FootnoteText"/>
        <w:spacing w:line="276" w:lineRule="auto"/>
        <w:jc w:val="both"/>
        <w:rPr>
          <w:rFonts w:ascii="Bookman Old Style" w:hAnsi="Bookman Old Style"/>
          <w:i/>
          <w:iCs/>
          <w:sz w:val="22"/>
          <w:szCs w:val="22"/>
          <w:lang w:val="el-GR"/>
        </w:rPr>
      </w:pPr>
    </w:p>
    <w:p w14:paraId="040A4611" w14:textId="3CE136FF" w:rsidR="00541D6D" w:rsidRPr="00541D6D" w:rsidRDefault="00541D6D" w:rsidP="00541D6D">
      <w:pPr>
        <w:pStyle w:val="FootnoteText"/>
        <w:spacing w:line="276" w:lineRule="auto"/>
        <w:jc w:val="both"/>
        <w:rPr>
          <w:rFonts w:ascii="Bookman Old Style" w:hAnsi="Bookman Old Style"/>
          <w:i/>
          <w:iCs/>
          <w:sz w:val="22"/>
          <w:szCs w:val="22"/>
          <w:lang w:val="el-GR"/>
        </w:rPr>
      </w:pPr>
      <w:r w:rsidRPr="00541D6D">
        <w:rPr>
          <w:rFonts w:ascii="Bookman Old Style" w:hAnsi="Bookman Old Style"/>
          <w:i/>
          <w:iCs/>
          <w:sz w:val="22"/>
          <w:szCs w:val="22"/>
          <w:lang w:val="el-GR"/>
        </w:rPr>
        <w:t>(α)………………………………………………………………………….</w:t>
      </w:r>
    </w:p>
    <w:p w14:paraId="69A3F3AF" w14:textId="77777777" w:rsidR="00541D6D" w:rsidRPr="00541D6D" w:rsidRDefault="00541D6D" w:rsidP="00541D6D">
      <w:pPr>
        <w:pStyle w:val="FootnoteText"/>
        <w:spacing w:line="276" w:lineRule="auto"/>
        <w:jc w:val="both"/>
        <w:rPr>
          <w:rFonts w:ascii="Bookman Old Style" w:hAnsi="Bookman Old Style"/>
          <w:i/>
          <w:iCs/>
          <w:sz w:val="22"/>
          <w:szCs w:val="22"/>
          <w:lang w:val="el-GR"/>
        </w:rPr>
      </w:pPr>
    </w:p>
    <w:p w14:paraId="4861AE7B" w14:textId="3767067D" w:rsidR="00541D6D" w:rsidRPr="00541D6D" w:rsidRDefault="00541D6D" w:rsidP="00541D6D">
      <w:pPr>
        <w:pStyle w:val="FootnoteText"/>
        <w:spacing w:line="276" w:lineRule="auto"/>
        <w:jc w:val="both"/>
        <w:rPr>
          <w:rFonts w:ascii="Bookman Old Style" w:hAnsi="Bookman Old Style"/>
          <w:i/>
          <w:iCs/>
          <w:sz w:val="22"/>
          <w:szCs w:val="22"/>
          <w:lang w:val="el-GR"/>
        </w:rPr>
      </w:pPr>
      <w:r w:rsidRPr="00541D6D">
        <w:rPr>
          <w:rFonts w:ascii="Bookman Old Style" w:hAnsi="Bookman Old Style"/>
          <w:i/>
          <w:iCs/>
          <w:sz w:val="22"/>
          <w:szCs w:val="22"/>
          <w:lang w:val="el-GR"/>
        </w:rPr>
        <w:t>(β)……………………………………………………………………………….</w:t>
      </w:r>
    </w:p>
    <w:p w14:paraId="1A22E80E" w14:textId="77777777" w:rsidR="00541D6D" w:rsidRPr="00541D6D" w:rsidRDefault="00541D6D" w:rsidP="00541D6D">
      <w:pPr>
        <w:pStyle w:val="FootnoteText"/>
        <w:spacing w:line="276" w:lineRule="auto"/>
        <w:jc w:val="both"/>
        <w:rPr>
          <w:rFonts w:ascii="Bookman Old Style" w:hAnsi="Bookman Old Style"/>
          <w:i/>
          <w:iCs/>
          <w:sz w:val="22"/>
          <w:szCs w:val="22"/>
          <w:lang w:val="el-GR"/>
        </w:rPr>
      </w:pPr>
    </w:p>
    <w:p w14:paraId="0380953D" w14:textId="3EA5B8B8" w:rsidR="00541D6D" w:rsidRPr="00541D6D" w:rsidRDefault="00541D6D" w:rsidP="00541D6D">
      <w:pPr>
        <w:pStyle w:val="FootnoteText"/>
        <w:spacing w:line="276" w:lineRule="auto"/>
        <w:jc w:val="both"/>
        <w:rPr>
          <w:rFonts w:ascii="Bookman Old Style" w:hAnsi="Bookman Old Style"/>
          <w:i/>
          <w:iCs/>
          <w:sz w:val="22"/>
          <w:szCs w:val="22"/>
          <w:lang w:val="el-GR"/>
        </w:rPr>
      </w:pPr>
      <w:r w:rsidRPr="00541D6D">
        <w:rPr>
          <w:rFonts w:ascii="Bookman Old Style" w:hAnsi="Bookman Old Style"/>
          <w:i/>
          <w:iCs/>
          <w:sz w:val="22"/>
          <w:szCs w:val="22"/>
          <w:lang w:val="el-GR"/>
        </w:rPr>
        <w:t>(γ) ούτος θ</w:t>
      </w:r>
      <w:r w:rsidR="003B7AD0">
        <w:rPr>
          <w:rFonts w:ascii="Bookman Old Style" w:hAnsi="Bookman Old Style"/>
          <w:i/>
          <w:iCs/>
          <w:sz w:val="22"/>
          <w:szCs w:val="22"/>
          <w:lang w:val="el-GR"/>
        </w:rPr>
        <w:t>α</w:t>
      </w:r>
      <w:r w:rsidRPr="00541D6D">
        <w:rPr>
          <w:rFonts w:ascii="Bookman Old Style" w:hAnsi="Bookman Old Style"/>
          <w:i/>
          <w:iCs/>
          <w:sz w:val="22"/>
          <w:szCs w:val="22"/>
          <w:lang w:val="el-GR"/>
        </w:rPr>
        <w:t xml:space="preserve"> </w:t>
      </w:r>
      <w:r w:rsidR="003B7AD0">
        <w:rPr>
          <w:rFonts w:ascii="Bookman Old Style" w:hAnsi="Bookman Old Style"/>
          <w:i/>
          <w:iCs/>
          <w:sz w:val="22"/>
          <w:szCs w:val="22"/>
          <w:lang w:val="el-GR"/>
        </w:rPr>
        <w:t>η</w:t>
      </w:r>
      <w:r w:rsidRPr="00541D6D">
        <w:rPr>
          <w:rFonts w:ascii="Bookman Old Style" w:hAnsi="Bookman Old Style"/>
          <w:i/>
          <w:iCs/>
          <w:sz w:val="22"/>
          <w:szCs w:val="22"/>
          <w:lang w:val="el-GR"/>
        </w:rPr>
        <w:t xml:space="preserve">δύνατο,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φ</w:t>
      </w:r>
      <w:r w:rsidR="00541BD5">
        <w:rPr>
          <w:rFonts w:ascii="Bookman Old Style" w:hAnsi="Bookman Old Style"/>
          <w:i/>
          <w:iCs/>
          <w:sz w:val="22"/>
          <w:szCs w:val="22"/>
          <w:lang w:val="el-GR"/>
        </w:rPr>
        <w:t>’ ό</w:t>
      </w:r>
      <w:r w:rsidRPr="00541D6D">
        <w:rPr>
          <w:rFonts w:ascii="Bookman Old Style" w:hAnsi="Bookman Old Style"/>
          <w:i/>
          <w:iCs/>
          <w:sz w:val="22"/>
          <w:szCs w:val="22"/>
          <w:lang w:val="el-GR"/>
        </w:rPr>
        <w:t xml:space="preserve">σον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νηργε</w:t>
      </w:r>
      <w:r w:rsidR="003B7AD0">
        <w:rPr>
          <w:rFonts w:ascii="Bookman Old Style" w:hAnsi="Bookman Old Style"/>
          <w:i/>
          <w:iCs/>
          <w:sz w:val="22"/>
          <w:szCs w:val="22"/>
          <w:lang w:val="el-GR"/>
        </w:rPr>
        <w:t>ί</w:t>
      </w:r>
      <w:r w:rsidRPr="00541D6D">
        <w:rPr>
          <w:rFonts w:ascii="Bookman Old Style" w:hAnsi="Bookman Old Style"/>
          <w:i/>
          <w:iCs/>
          <w:sz w:val="22"/>
          <w:szCs w:val="22"/>
          <w:lang w:val="el-GR"/>
        </w:rPr>
        <w:t xml:space="preserve">το </w:t>
      </w:r>
      <w:r w:rsidR="003B7AD0">
        <w:rPr>
          <w:rFonts w:ascii="Bookman Old Style" w:hAnsi="Bookman Old Style"/>
          <w:i/>
          <w:iCs/>
          <w:sz w:val="22"/>
          <w:szCs w:val="22"/>
          <w:lang w:val="el-GR"/>
        </w:rPr>
        <w:t>η</w:t>
      </w:r>
      <w:r w:rsidRPr="00541D6D">
        <w:rPr>
          <w:rFonts w:ascii="Bookman Old Style" w:hAnsi="Bookman Old Style"/>
          <w:i/>
          <w:iCs/>
          <w:sz w:val="22"/>
          <w:szCs w:val="22"/>
          <w:lang w:val="el-GR"/>
        </w:rPr>
        <w:t xml:space="preserve"> έκδοσ</w:t>
      </w:r>
      <w:r w:rsidR="003B7AD0">
        <w:rPr>
          <w:rFonts w:ascii="Bookman Old Style" w:hAnsi="Bookman Old Style"/>
          <w:i/>
          <w:iCs/>
          <w:sz w:val="22"/>
          <w:szCs w:val="22"/>
          <w:lang w:val="el-GR"/>
        </w:rPr>
        <w:t>ι</w:t>
      </w:r>
      <w:r w:rsidRPr="00541D6D">
        <w:rPr>
          <w:rFonts w:ascii="Bookman Old Style" w:hAnsi="Bookman Old Style"/>
          <w:i/>
          <w:iCs/>
          <w:sz w:val="22"/>
          <w:szCs w:val="22"/>
          <w:lang w:val="el-GR"/>
        </w:rPr>
        <w:t>ς του, να τύχη δυσμενούς μεταχειρίσεως κατά τ</w:t>
      </w:r>
      <w:r w:rsidR="003B7AD0">
        <w:rPr>
          <w:rFonts w:ascii="Bookman Old Style" w:hAnsi="Bookman Old Style"/>
          <w:i/>
          <w:iCs/>
          <w:sz w:val="22"/>
          <w:szCs w:val="22"/>
          <w:lang w:val="el-GR"/>
        </w:rPr>
        <w:t>η</w:t>
      </w:r>
      <w:r w:rsidRPr="00541D6D">
        <w:rPr>
          <w:rFonts w:ascii="Bookman Old Style" w:hAnsi="Bookman Old Style"/>
          <w:i/>
          <w:iCs/>
          <w:sz w:val="22"/>
          <w:szCs w:val="22"/>
          <w:lang w:val="el-GR"/>
        </w:rPr>
        <w:t xml:space="preserve">ν </w:t>
      </w:r>
      <w:r w:rsidR="003B7AD0">
        <w:rPr>
          <w:rFonts w:ascii="Bookman Old Style" w:hAnsi="Bookman Old Style"/>
          <w:i/>
          <w:iCs/>
          <w:sz w:val="22"/>
          <w:szCs w:val="22"/>
          <w:lang w:val="el-GR"/>
        </w:rPr>
        <w:t>ε</w:t>
      </w:r>
      <w:r w:rsidRPr="00541D6D">
        <w:rPr>
          <w:rFonts w:ascii="Bookman Old Style" w:hAnsi="Bookman Old Style"/>
          <w:i/>
          <w:iCs/>
          <w:sz w:val="22"/>
          <w:szCs w:val="22"/>
          <w:lang w:val="el-GR"/>
        </w:rPr>
        <w:t>κδίκασιν τ</w:t>
      </w:r>
      <w:r w:rsidR="003B7AD0">
        <w:rPr>
          <w:rFonts w:ascii="Bookman Old Style" w:hAnsi="Bookman Old Style"/>
          <w:i/>
          <w:iCs/>
          <w:sz w:val="22"/>
          <w:szCs w:val="22"/>
          <w:lang w:val="el-GR"/>
        </w:rPr>
        <w:t>η</w:t>
      </w:r>
      <w:r w:rsidRPr="00541D6D">
        <w:rPr>
          <w:rFonts w:ascii="Bookman Old Style" w:hAnsi="Bookman Old Style"/>
          <w:i/>
          <w:iCs/>
          <w:sz w:val="22"/>
          <w:szCs w:val="22"/>
          <w:lang w:val="el-GR"/>
        </w:rPr>
        <w:t>ς υποθέσεως του ή ν</w:t>
      </w:r>
      <w:r w:rsidR="003B7AD0">
        <w:rPr>
          <w:rFonts w:ascii="Bookman Old Style" w:hAnsi="Bookman Old Style"/>
          <w:i/>
          <w:iCs/>
          <w:sz w:val="22"/>
          <w:szCs w:val="22"/>
          <w:lang w:val="el-GR"/>
        </w:rPr>
        <w:t>α</w:t>
      </w:r>
      <w:r w:rsidRPr="00541D6D">
        <w:rPr>
          <w:rFonts w:ascii="Bookman Old Style" w:hAnsi="Bookman Old Style"/>
          <w:i/>
          <w:iCs/>
          <w:sz w:val="22"/>
          <w:szCs w:val="22"/>
          <w:lang w:val="el-GR"/>
        </w:rPr>
        <w:t xml:space="preserve"> κολασθή, κρατηθή ή περιορισθή </w:t>
      </w:r>
      <w:r w:rsidR="003B7AD0">
        <w:rPr>
          <w:rFonts w:ascii="Bookman Old Style" w:hAnsi="Bookman Old Style"/>
          <w:i/>
          <w:iCs/>
          <w:sz w:val="22"/>
          <w:szCs w:val="22"/>
          <w:lang w:val="el-GR"/>
        </w:rPr>
        <w:t>η</w:t>
      </w:r>
      <w:r w:rsidRPr="00541D6D">
        <w:rPr>
          <w:rFonts w:ascii="Bookman Old Style" w:hAnsi="Bookman Old Style"/>
          <w:i/>
          <w:iCs/>
          <w:sz w:val="22"/>
          <w:szCs w:val="22"/>
          <w:lang w:val="el-GR"/>
        </w:rPr>
        <w:t xml:space="preserve"> προσωπική α</w:t>
      </w:r>
      <w:r w:rsidR="003B7AD0">
        <w:rPr>
          <w:rFonts w:ascii="Bookman Old Style" w:hAnsi="Bookman Old Style"/>
          <w:i/>
          <w:iCs/>
          <w:sz w:val="22"/>
          <w:szCs w:val="22"/>
          <w:lang w:val="el-GR"/>
        </w:rPr>
        <w:t>υτού</w:t>
      </w:r>
      <w:r w:rsidRPr="00541D6D">
        <w:rPr>
          <w:rFonts w:ascii="Bookman Old Style" w:hAnsi="Bookman Old Style"/>
          <w:i/>
          <w:iCs/>
          <w:sz w:val="22"/>
          <w:szCs w:val="22"/>
          <w:lang w:val="el-GR"/>
        </w:rPr>
        <w:t xml:space="preserve"> ελευθερία, λόγω της φυλής ε</w:t>
      </w:r>
      <w:r w:rsidR="001E4590">
        <w:rPr>
          <w:rFonts w:ascii="Bookman Old Style" w:hAnsi="Bookman Old Style"/>
          <w:i/>
          <w:iCs/>
          <w:sz w:val="22"/>
          <w:szCs w:val="22"/>
          <w:lang w:val="el-GR"/>
        </w:rPr>
        <w:t>ι</w:t>
      </w:r>
      <w:r w:rsidRPr="00541D6D">
        <w:rPr>
          <w:rFonts w:ascii="Bookman Old Style" w:hAnsi="Bookman Old Style"/>
          <w:i/>
          <w:iCs/>
          <w:sz w:val="22"/>
          <w:szCs w:val="22"/>
          <w:lang w:val="el-GR"/>
        </w:rPr>
        <w:t>ς ην ανήκει, τ</w:t>
      </w:r>
      <w:r w:rsidR="001E4590">
        <w:rPr>
          <w:rFonts w:ascii="Bookman Old Style" w:hAnsi="Bookman Old Style"/>
          <w:i/>
          <w:iCs/>
          <w:sz w:val="22"/>
          <w:szCs w:val="22"/>
          <w:lang w:val="el-GR"/>
        </w:rPr>
        <w:t>ω</w:t>
      </w:r>
      <w:r w:rsidRPr="00541D6D">
        <w:rPr>
          <w:rFonts w:ascii="Bookman Old Style" w:hAnsi="Bookman Old Style"/>
          <w:i/>
          <w:iCs/>
          <w:sz w:val="22"/>
          <w:szCs w:val="22"/>
          <w:lang w:val="el-GR"/>
        </w:rPr>
        <w:t>ν θρησκευτικών α</w:t>
      </w:r>
      <w:r w:rsidR="001E4590">
        <w:rPr>
          <w:rFonts w:ascii="Bookman Old Style" w:hAnsi="Bookman Old Style"/>
          <w:i/>
          <w:iCs/>
          <w:sz w:val="22"/>
          <w:szCs w:val="22"/>
          <w:lang w:val="el-GR"/>
        </w:rPr>
        <w:t>υτού</w:t>
      </w:r>
      <w:r w:rsidRPr="00541D6D">
        <w:rPr>
          <w:rFonts w:ascii="Bookman Old Style" w:hAnsi="Bookman Old Style"/>
          <w:i/>
          <w:iCs/>
          <w:sz w:val="22"/>
          <w:szCs w:val="22"/>
          <w:lang w:val="el-GR"/>
        </w:rPr>
        <w:t xml:space="preserve"> πεποιθήσεων, της εθνικότητος του ή των πολιτικών α</w:t>
      </w:r>
      <w:r w:rsidR="001E4590">
        <w:rPr>
          <w:rFonts w:ascii="Bookman Old Style" w:hAnsi="Bookman Old Style"/>
          <w:i/>
          <w:iCs/>
          <w:sz w:val="22"/>
          <w:szCs w:val="22"/>
          <w:lang w:val="el-GR"/>
        </w:rPr>
        <w:t>υτού</w:t>
      </w:r>
      <w:r w:rsidRPr="00541D6D">
        <w:rPr>
          <w:rFonts w:ascii="Bookman Old Style" w:hAnsi="Bookman Old Style"/>
          <w:i/>
          <w:iCs/>
          <w:sz w:val="22"/>
          <w:szCs w:val="22"/>
          <w:lang w:val="el-GR"/>
        </w:rPr>
        <w:t xml:space="preserve"> φρονημάτων.</w:t>
      </w:r>
    </w:p>
  </w:footnote>
  <w:footnote w:id="2">
    <w:p w14:paraId="3A9E1F08" w14:textId="09F9F420" w:rsidR="002B3441" w:rsidRPr="00D61FF9" w:rsidRDefault="002B3441" w:rsidP="002B3441">
      <w:pPr>
        <w:pStyle w:val="FootnoteText"/>
        <w:spacing w:line="276" w:lineRule="auto"/>
        <w:jc w:val="both"/>
        <w:rPr>
          <w:rFonts w:ascii="Bookman Old Style" w:hAnsi="Bookman Old Style"/>
          <w:i/>
          <w:iCs/>
          <w:sz w:val="22"/>
          <w:szCs w:val="22"/>
          <w:lang w:val="el-GR"/>
        </w:rPr>
      </w:pPr>
      <w:r>
        <w:rPr>
          <w:rStyle w:val="FootnoteReference"/>
        </w:rPr>
        <w:footnoteRef/>
      </w:r>
      <w:r w:rsidRPr="002B3441">
        <w:rPr>
          <w:lang w:val="el-GR"/>
        </w:rPr>
        <w:t xml:space="preserve"> </w:t>
      </w:r>
      <w:r w:rsidRPr="00D61FF9">
        <w:rPr>
          <w:rFonts w:ascii="Bookman Old Style" w:hAnsi="Bookman Old Style"/>
          <w:sz w:val="22"/>
          <w:szCs w:val="22"/>
          <w:lang w:val="el-GR"/>
        </w:rPr>
        <w:t xml:space="preserve">2. </w:t>
      </w:r>
      <w:r w:rsidRPr="00D61FF9">
        <w:rPr>
          <w:rFonts w:ascii="Bookman Old Style" w:hAnsi="Bookman Old Style"/>
          <w:i/>
          <w:iCs/>
          <w:sz w:val="22"/>
          <w:szCs w:val="22"/>
          <w:lang w:val="el-GR"/>
        </w:rPr>
        <w:t>Πρ</w:t>
      </w:r>
      <w:r w:rsidR="00F13A97">
        <w:rPr>
          <w:rFonts w:ascii="Bookman Old Style" w:hAnsi="Bookman Old Style"/>
          <w:i/>
          <w:iCs/>
          <w:sz w:val="22"/>
          <w:szCs w:val="22"/>
          <w:lang w:val="el-GR"/>
        </w:rPr>
        <w:t>ό</w:t>
      </w:r>
      <w:r w:rsidRPr="00D61FF9">
        <w:rPr>
          <w:rFonts w:ascii="Bookman Old Style" w:hAnsi="Bookman Old Style"/>
          <w:i/>
          <w:iCs/>
          <w:sz w:val="22"/>
          <w:szCs w:val="22"/>
          <w:lang w:val="el-GR"/>
        </w:rPr>
        <w:t xml:space="preserve">ς </w:t>
      </w:r>
      <w:r w:rsidR="00FA0AB2">
        <w:rPr>
          <w:rFonts w:ascii="Bookman Old Style" w:hAnsi="Bookman Old Style"/>
          <w:i/>
          <w:iCs/>
          <w:sz w:val="22"/>
          <w:szCs w:val="22"/>
          <w:lang w:val="el-GR"/>
        </w:rPr>
        <w:t>υ</w:t>
      </w:r>
      <w:r w:rsidRPr="00D61FF9">
        <w:rPr>
          <w:rFonts w:ascii="Bookman Old Style" w:hAnsi="Bookman Old Style"/>
          <w:i/>
          <w:iCs/>
          <w:sz w:val="22"/>
          <w:szCs w:val="22"/>
          <w:lang w:val="el-GR"/>
        </w:rPr>
        <w:t>ποστήριξιν της αιτήσεως θέλουσι προσαχθή:</w:t>
      </w:r>
    </w:p>
    <w:p w14:paraId="5F195883" w14:textId="77777777" w:rsidR="002B3441" w:rsidRPr="00D61FF9" w:rsidRDefault="002B3441" w:rsidP="002B3441">
      <w:pPr>
        <w:spacing w:line="276" w:lineRule="auto"/>
        <w:jc w:val="both"/>
        <w:rPr>
          <w:rFonts w:ascii="Bookman Old Style" w:hAnsi="Bookman Old Style"/>
          <w:sz w:val="22"/>
          <w:szCs w:val="22"/>
          <w:lang w:val="el-GR"/>
        </w:rPr>
      </w:pPr>
      <w:r w:rsidRPr="002B3441">
        <w:rPr>
          <w:rFonts w:ascii="Bookman Old Style" w:hAnsi="Bookman Old Style"/>
          <w:sz w:val="22"/>
          <w:szCs w:val="22"/>
        </w:rPr>
        <w:t> </w:t>
      </w:r>
    </w:p>
    <w:p w14:paraId="6A6574ED" w14:textId="33FE00A7" w:rsidR="002B3441" w:rsidRPr="00D61FF9" w:rsidRDefault="002B3441" w:rsidP="002B3441">
      <w:pPr>
        <w:spacing w:line="276" w:lineRule="auto"/>
        <w:jc w:val="both"/>
        <w:rPr>
          <w:rFonts w:ascii="Bookman Old Style" w:hAnsi="Bookman Old Style"/>
          <w:i/>
          <w:iCs/>
          <w:sz w:val="22"/>
          <w:szCs w:val="22"/>
          <w:lang w:val="el-GR"/>
        </w:rPr>
      </w:pPr>
      <w:r w:rsidRPr="002B3441">
        <w:rPr>
          <w:rFonts w:ascii="Bookman Old Style" w:hAnsi="Bookman Old Style"/>
          <w:sz w:val="22"/>
          <w:szCs w:val="22"/>
        </w:rPr>
        <w:t> </w:t>
      </w:r>
      <w:r w:rsidRPr="00D61FF9">
        <w:rPr>
          <w:rFonts w:ascii="Bookman Old Style" w:hAnsi="Bookman Old Style"/>
          <w:sz w:val="22"/>
          <w:szCs w:val="22"/>
          <w:lang w:val="el-GR"/>
        </w:rPr>
        <w:t xml:space="preserve">(α) </w:t>
      </w:r>
      <w:r w:rsidRPr="00D61FF9">
        <w:rPr>
          <w:rFonts w:ascii="Bookman Old Style" w:hAnsi="Bookman Old Style"/>
          <w:i/>
          <w:iCs/>
          <w:sz w:val="22"/>
          <w:szCs w:val="22"/>
          <w:lang w:val="el-GR"/>
        </w:rPr>
        <w:t>τ</w:t>
      </w:r>
      <w:r w:rsidR="00FA0AB2">
        <w:rPr>
          <w:rFonts w:ascii="Bookman Old Style" w:hAnsi="Bookman Old Style"/>
          <w:i/>
          <w:iCs/>
          <w:sz w:val="22"/>
          <w:szCs w:val="22"/>
          <w:lang w:val="el-GR"/>
        </w:rPr>
        <w:t>ό</w:t>
      </w:r>
      <w:r w:rsidRPr="00D61FF9">
        <w:rPr>
          <w:rFonts w:ascii="Bookman Old Style" w:hAnsi="Bookman Old Style"/>
          <w:i/>
          <w:iCs/>
          <w:sz w:val="22"/>
          <w:szCs w:val="22"/>
          <w:lang w:val="el-GR"/>
        </w:rPr>
        <w:t xml:space="preserve"> πρωτόκολλον ή επίσημον αντίγραφον, είτε εκτελεστής καταδικαστικής αποφάσεως, είτε εντάλματος συλλήψεως ή ετέρας τινός πράξεως, εχούσης την αυτήν ισχύν, και εκδιδομένης κατά το</w:t>
      </w:r>
      <w:r w:rsidR="00FA0AB2">
        <w:rPr>
          <w:rFonts w:ascii="Bookman Old Style" w:hAnsi="Bookman Old Style"/>
          <w:i/>
          <w:iCs/>
          <w:sz w:val="22"/>
          <w:szCs w:val="22"/>
          <w:lang w:val="el-GR"/>
        </w:rPr>
        <w:t>ύ</w:t>
      </w:r>
      <w:r w:rsidRPr="00D61FF9">
        <w:rPr>
          <w:rFonts w:ascii="Bookman Old Style" w:hAnsi="Bookman Old Style"/>
          <w:i/>
          <w:iCs/>
          <w:sz w:val="22"/>
          <w:szCs w:val="22"/>
          <w:lang w:val="el-GR"/>
        </w:rPr>
        <w:t>ς τύπους το</w:t>
      </w:r>
      <w:r w:rsidR="00FA0AB2">
        <w:rPr>
          <w:rFonts w:ascii="Bookman Old Style" w:hAnsi="Bookman Old Style"/>
          <w:i/>
          <w:iCs/>
          <w:sz w:val="22"/>
          <w:szCs w:val="22"/>
          <w:lang w:val="el-GR"/>
        </w:rPr>
        <w:t>ύ</w:t>
      </w:r>
      <w:r w:rsidRPr="00D61FF9">
        <w:rPr>
          <w:rFonts w:ascii="Bookman Old Style" w:hAnsi="Bookman Old Style"/>
          <w:i/>
          <w:iCs/>
          <w:sz w:val="22"/>
          <w:szCs w:val="22"/>
          <w:lang w:val="el-GR"/>
        </w:rPr>
        <w:t>ς καθοριζομένους υπό της Νομοθεσίας του αιτούντος Μέρους</w:t>
      </w:r>
      <w:r w:rsidR="00FA0AB2">
        <w:rPr>
          <w:rFonts w:ascii="Bookman Old Style" w:hAnsi="Bookman Old Style"/>
          <w:i/>
          <w:iCs/>
          <w:sz w:val="22"/>
          <w:szCs w:val="22"/>
          <w:lang w:val="el-GR"/>
        </w:rPr>
        <w:t>•</w:t>
      </w:r>
    </w:p>
    <w:p w14:paraId="6AAD7FFF" w14:textId="5143920C" w:rsidR="002B3441" w:rsidRPr="00D61FF9" w:rsidRDefault="002B3441" w:rsidP="002B3441">
      <w:pPr>
        <w:pStyle w:val="FootnoteText"/>
        <w:spacing w:line="276" w:lineRule="auto"/>
        <w:rPr>
          <w:rFonts w:ascii="Bookman Old Style" w:hAnsi="Bookman Old Style"/>
          <w:i/>
          <w:iCs/>
          <w:sz w:val="22"/>
          <w:szCs w:val="22"/>
          <w:lang w:val="el-GR"/>
        </w:rPr>
      </w:pPr>
    </w:p>
  </w:footnote>
  <w:footnote w:id="3">
    <w:p w14:paraId="0A70D80B" w14:textId="241093A6" w:rsidR="00790A40" w:rsidRPr="00790A40" w:rsidRDefault="00790A40">
      <w:pPr>
        <w:pStyle w:val="FootnoteText"/>
        <w:rPr>
          <w:rFonts w:ascii="Bookman Old Style" w:hAnsi="Bookman Old Style"/>
          <w:sz w:val="22"/>
          <w:szCs w:val="22"/>
          <w:lang w:val="el-GR"/>
        </w:rPr>
      </w:pPr>
      <w:r w:rsidRPr="00790A40">
        <w:rPr>
          <w:rStyle w:val="FootnoteReference"/>
          <w:rFonts w:ascii="Bookman Old Style" w:hAnsi="Bookman Old Style"/>
          <w:sz w:val="22"/>
          <w:szCs w:val="22"/>
        </w:rPr>
        <w:footnoteRef/>
      </w:r>
      <w:r w:rsidRPr="00790A40">
        <w:rPr>
          <w:rFonts w:ascii="Bookman Old Style" w:hAnsi="Bookman Old Style"/>
          <w:sz w:val="22"/>
          <w:szCs w:val="22"/>
          <w:lang w:val="el-GR"/>
        </w:rPr>
        <w:t xml:space="preserve"> Δέστε </w:t>
      </w:r>
      <w:r w:rsidRPr="00790A40">
        <w:rPr>
          <w:rFonts w:ascii="Bookman Old Style" w:hAnsi="Bookman Old Style"/>
          <w:b/>
          <w:bCs/>
          <w:i/>
          <w:iCs/>
          <w:sz w:val="22"/>
          <w:szCs w:val="22"/>
          <w:lang w:val="el-GR"/>
        </w:rPr>
        <w:t xml:space="preserve">Άρθρο 9(5) (β) του </w:t>
      </w:r>
      <w:r w:rsidR="00AE511F">
        <w:rPr>
          <w:rFonts w:ascii="Bookman Old Style" w:hAnsi="Bookman Old Style"/>
          <w:b/>
          <w:bCs/>
          <w:i/>
          <w:iCs/>
          <w:sz w:val="22"/>
          <w:szCs w:val="22"/>
          <w:lang w:val="el-GR"/>
        </w:rPr>
        <w:t>π</w:t>
      </w:r>
      <w:r w:rsidRPr="00790A40">
        <w:rPr>
          <w:rFonts w:ascii="Bookman Old Style" w:hAnsi="Bookman Old Style"/>
          <w:b/>
          <w:bCs/>
          <w:i/>
          <w:iCs/>
          <w:sz w:val="22"/>
          <w:szCs w:val="22"/>
          <w:lang w:val="el-GR"/>
        </w:rPr>
        <w:t>ερί Εκδόσεως Φυγοδίκων Νόμου, Ν.</w:t>
      </w:r>
      <w:r w:rsidR="00AE511F">
        <w:rPr>
          <w:rFonts w:ascii="Bookman Old Style" w:hAnsi="Bookman Old Style"/>
          <w:b/>
          <w:bCs/>
          <w:i/>
          <w:iCs/>
          <w:sz w:val="22"/>
          <w:szCs w:val="22"/>
          <w:lang w:val="el-GR"/>
        </w:rPr>
        <w:t xml:space="preserve"> </w:t>
      </w:r>
      <w:r w:rsidRPr="00790A40">
        <w:rPr>
          <w:rFonts w:ascii="Bookman Old Style" w:hAnsi="Bookman Old Style"/>
          <w:b/>
          <w:bCs/>
          <w:i/>
          <w:iCs/>
          <w:sz w:val="22"/>
          <w:szCs w:val="22"/>
          <w:lang w:val="el-GR"/>
        </w:rPr>
        <w:t>97/1970</w:t>
      </w:r>
      <w:r w:rsidRPr="00790A40">
        <w:rPr>
          <w:rFonts w:ascii="Bookman Old Style" w:hAnsi="Bookman Old Style"/>
          <w:sz w:val="22"/>
          <w:szCs w:val="22"/>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64E6DCE6" w:rsidR="00CF75E4" w:rsidRDefault="00CF75E4">
    <w:pPr>
      <w:pStyle w:val="Header"/>
      <w:jc w:val="center"/>
    </w:pPr>
    <w:r>
      <w:fldChar w:fldCharType="begin"/>
    </w:r>
    <w:r>
      <w:instrText xml:space="preserve"> PAGE   \* MERGEFORMAT </w:instrText>
    </w:r>
    <w:r>
      <w:fldChar w:fldCharType="separate"/>
    </w:r>
    <w:r w:rsidR="002737DD">
      <w:rPr>
        <w:noProof/>
      </w:rPr>
      <w:t>15</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6E21724"/>
    <w:multiLevelType w:val="hybridMultilevel"/>
    <w:tmpl w:val="0ED08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0"/>
  </w:num>
  <w:num w:numId="13">
    <w:abstractNumId w:val="15"/>
  </w:num>
  <w:num w:numId="14">
    <w:abstractNumId w:val="2"/>
  </w:num>
  <w:num w:numId="15">
    <w:abstractNumId w:val="8"/>
  </w:num>
  <w:num w:numId="16">
    <w:abstractNumId w:val="17"/>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11CB2"/>
    <w:rsid w:val="00020297"/>
    <w:rsid w:val="00020DDA"/>
    <w:rsid w:val="0002488E"/>
    <w:rsid w:val="000278F3"/>
    <w:rsid w:val="000349B3"/>
    <w:rsid w:val="00035069"/>
    <w:rsid w:val="0003597D"/>
    <w:rsid w:val="00035EA5"/>
    <w:rsid w:val="00036342"/>
    <w:rsid w:val="00040D98"/>
    <w:rsid w:val="00042D4F"/>
    <w:rsid w:val="00043077"/>
    <w:rsid w:val="000437F7"/>
    <w:rsid w:val="00053E4D"/>
    <w:rsid w:val="00053F21"/>
    <w:rsid w:val="00054437"/>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21D3"/>
    <w:rsid w:val="000C4171"/>
    <w:rsid w:val="000C432E"/>
    <w:rsid w:val="000D1294"/>
    <w:rsid w:val="000D40E5"/>
    <w:rsid w:val="000D512B"/>
    <w:rsid w:val="000D5E56"/>
    <w:rsid w:val="000D763E"/>
    <w:rsid w:val="000E4325"/>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6251"/>
    <w:rsid w:val="001478D9"/>
    <w:rsid w:val="001505E5"/>
    <w:rsid w:val="001506D1"/>
    <w:rsid w:val="001507AC"/>
    <w:rsid w:val="0015347A"/>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B23EF"/>
    <w:rsid w:val="001B3040"/>
    <w:rsid w:val="001B4997"/>
    <w:rsid w:val="001C2717"/>
    <w:rsid w:val="001C3A40"/>
    <w:rsid w:val="001C5EF1"/>
    <w:rsid w:val="001D0165"/>
    <w:rsid w:val="001E00B9"/>
    <w:rsid w:val="001E05AA"/>
    <w:rsid w:val="001E09D1"/>
    <w:rsid w:val="001E0A02"/>
    <w:rsid w:val="001E2109"/>
    <w:rsid w:val="001E3F2C"/>
    <w:rsid w:val="001E4590"/>
    <w:rsid w:val="001E47BA"/>
    <w:rsid w:val="001E50A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6104"/>
    <w:rsid w:val="00237318"/>
    <w:rsid w:val="002375E9"/>
    <w:rsid w:val="00240315"/>
    <w:rsid w:val="0024555A"/>
    <w:rsid w:val="00246242"/>
    <w:rsid w:val="002511DC"/>
    <w:rsid w:val="00251EA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37DD"/>
    <w:rsid w:val="00276F88"/>
    <w:rsid w:val="002822E0"/>
    <w:rsid w:val="002842C3"/>
    <w:rsid w:val="00284DCF"/>
    <w:rsid w:val="00285F60"/>
    <w:rsid w:val="00286460"/>
    <w:rsid w:val="00287351"/>
    <w:rsid w:val="00287F36"/>
    <w:rsid w:val="00291651"/>
    <w:rsid w:val="00295602"/>
    <w:rsid w:val="00296605"/>
    <w:rsid w:val="002977B3"/>
    <w:rsid w:val="002A4ED5"/>
    <w:rsid w:val="002A631C"/>
    <w:rsid w:val="002A67AF"/>
    <w:rsid w:val="002B0A78"/>
    <w:rsid w:val="002B2638"/>
    <w:rsid w:val="002B2C51"/>
    <w:rsid w:val="002B3441"/>
    <w:rsid w:val="002B74E9"/>
    <w:rsid w:val="002C0A93"/>
    <w:rsid w:val="002C3BDD"/>
    <w:rsid w:val="002C3E1F"/>
    <w:rsid w:val="002C618C"/>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06623"/>
    <w:rsid w:val="003103D8"/>
    <w:rsid w:val="00315791"/>
    <w:rsid w:val="00316BE5"/>
    <w:rsid w:val="00316C5D"/>
    <w:rsid w:val="003231CA"/>
    <w:rsid w:val="0032535A"/>
    <w:rsid w:val="0032669E"/>
    <w:rsid w:val="00326E01"/>
    <w:rsid w:val="00327D19"/>
    <w:rsid w:val="00332F72"/>
    <w:rsid w:val="00333E33"/>
    <w:rsid w:val="0033429D"/>
    <w:rsid w:val="00335FEF"/>
    <w:rsid w:val="00337703"/>
    <w:rsid w:val="00337BC4"/>
    <w:rsid w:val="003472C7"/>
    <w:rsid w:val="0035313C"/>
    <w:rsid w:val="003561FF"/>
    <w:rsid w:val="003605F5"/>
    <w:rsid w:val="00362EB6"/>
    <w:rsid w:val="0036532E"/>
    <w:rsid w:val="0037086D"/>
    <w:rsid w:val="00374EB1"/>
    <w:rsid w:val="00380609"/>
    <w:rsid w:val="00381D97"/>
    <w:rsid w:val="00383618"/>
    <w:rsid w:val="00394B2D"/>
    <w:rsid w:val="00395154"/>
    <w:rsid w:val="00397480"/>
    <w:rsid w:val="003A0304"/>
    <w:rsid w:val="003A0FB8"/>
    <w:rsid w:val="003A158D"/>
    <w:rsid w:val="003A1852"/>
    <w:rsid w:val="003A3BA5"/>
    <w:rsid w:val="003B3976"/>
    <w:rsid w:val="003B5736"/>
    <w:rsid w:val="003B7AD0"/>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1C71"/>
    <w:rsid w:val="00422938"/>
    <w:rsid w:val="00422ADE"/>
    <w:rsid w:val="00426C61"/>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1CBC"/>
    <w:rsid w:val="004727E2"/>
    <w:rsid w:val="00475C42"/>
    <w:rsid w:val="00475EE3"/>
    <w:rsid w:val="0048095C"/>
    <w:rsid w:val="00482618"/>
    <w:rsid w:val="00484799"/>
    <w:rsid w:val="004850CD"/>
    <w:rsid w:val="0048527C"/>
    <w:rsid w:val="004868B3"/>
    <w:rsid w:val="00486CB3"/>
    <w:rsid w:val="00491D1D"/>
    <w:rsid w:val="00492802"/>
    <w:rsid w:val="00497E25"/>
    <w:rsid w:val="004A086C"/>
    <w:rsid w:val="004B3154"/>
    <w:rsid w:val="004B795E"/>
    <w:rsid w:val="004C2E05"/>
    <w:rsid w:val="004D2411"/>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1BD5"/>
    <w:rsid w:val="00541D6D"/>
    <w:rsid w:val="0054698F"/>
    <w:rsid w:val="00547689"/>
    <w:rsid w:val="00551AF3"/>
    <w:rsid w:val="0055241D"/>
    <w:rsid w:val="0056063D"/>
    <w:rsid w:val="005629C5"/>
    <w:rsid w:val="00571FD5"/>
    <w:rsid w:val="00573B9E"/>
    <w:rsid w:val="005764D2"/>
    <w:rsid w:val="0058005F"/>
    <w:rsid w:val="00580AED"/>
    <w:rsid w:val="00580B94"/>
    <w:rsid w:val="00582B8B"/>
    <w:rsid w:val="00585D3C"/>
    <w:rsid w:val="00592479"/>
    <w:rsid w:val="005A1D71"/>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32C0"/>
    <w:rsid w:val="00624596"/>
    <w:rsid w:val="006334D9"/>
    <w:rsid w:val="00634CA2"/>
    <w:rsid w:val="006351AC"/>
    <w:rsid w:val="00637F1D"/>
    <w:rsid w:val="006444DE"/>
    <w:rsid w:val="00646095"/>
    <w:rsid w:val="00647A1A"/>
    <w:rsid w:val="006517ED"/>
    <w:rsid w:val="006526DA"/>
    <w:rsid w:val="00655996"/>
    <w:rsid w:val="0065724A"/>
    <w:rsid w:val="006618B0"/>
    <w:rsid w:val="00661ECF"/>
    <w:rsid w:val="0066270C"/>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0D62"/>
    <w:rsid w:val="006B1138"/>
    <w:rsid w:val="006B1A70"/>
    <w:rsid w:val="006B3E07"/>
    <w:rsid w:val="006C0510"/>
    <w:rsid w:val="006D20A9"/>
    <w:rsid w:val="006D7166"/>
    <w:rsid w:val="006D7A84"/>
    <w:rsid w:val="006E0506"/>
    <w:rsid w:val="006E1250"/>
    <w:rsid w:val="006E65C3"/>
    <w:rsid w:val="006F4660"/>
    <w:rsid w:val="006F53E1"/>
    <w:rsid w:val="006F6985"/>
    <w:rsid w:val="00700B8A"/>
    <w:rsid w:val="00702EC7"/>
    <w:rsid w:val="00703717"/>
    <w:rsid w:val="007062FF"/>
    <w:rsid w:val="007066FF"/>
    <w:rsid w:val="00706F5C"/>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66795"/>
    <w:rsid w:val="007715DB"/>
    <w:rsid w:val="00773FD7"/>
    <w:rsid w:val="00774795"/>
    <w:rsid w:val="007748E6"/>
    <w:rsid w:val="007758DA"/>
    <w:rsid w:val="00776545"/>
    <w:rsid w:val="00776D6B"/>
    <w:rsid w:val="00777A4E"/>
    <w:rsid w:val="00781979"/>
    <w:rsid w:val="00783005"/>
    <w:rsid w:val="00790A40"/>
    <w:rsid w:val="00791BEC"/>
    <w:rsid w:val="007A1FA8"/>
    <w:rsid w:val="007A57DA"/>
    <w:rsid w:val="007B56C6"/>
    <w:rsid w:val="007B66F0"/>
    <w:rsid w:val="007B79A0"/>
    <w:rsid w:val="007B7C5B"/>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1689B"/>
    <w:rsid w:val="00825237"/>
    <w:rsid w:val="008264A6"/>
    <w:rsid w:val="00830BA8"/>
    <w:rsid w:val="00836396"/>
    <w:rsid w:val="008376CB"/>
    <w:rsid w:val="00837E71"/>
    <w:rsid w:val="00843D99"/>
    <w:rsid w:val="00846C09"/>
    <w:rsid w:val="00851456"/>
    <w:rsid w:val="008518F5"/>
    <w:rsid w:val="00852ED4"/>
    <w:rsid w:val="00853085"/>
    <w:rsid w:val="00854B6B"/>
    <w:rsid w:val="00862D29"/>
    <w:rsid w:val="00865FA3"/>
    <w:rsid w:val="0087152E"/>
    <w:rsid w:val="0087166F"/>
    <w:rsid w:val="0087268E"/>
    <w:rsid w:val="00874F0C"/>
    <w:rsid w:val="0087796B"/>
    <w:rsid w:val="00887B1D"/>
    <w:rsid w:val="00891B19"/>
    <w:rsid w:val="00893352"/>
    <w:rsid w:val="008969EE"/>
    <w:rsid w:val="00896E38"/>
    <w:rsid w:val="008A317B"/>
    <w:rsid w:val="008A4C74"/>
    <w:rsid w:val="008A6C8C"/>
    <w:rsid w:val="008A7196"/>
    <w:rsid w:val="008A71DD"/>
    <w:rsid w:val="008B113A"/>
    <w:rsid w:val="008B51D7"/>
    <w:rsid w:val="008C0241"/>
    <w:rsid w:val="008C0AD8"/>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608E"/>
    <w:rsid w:val="008F7E1A"/>
    <w:rsid w:val="009011BE"/>
    <w:rsid w:val="00904291"/>
    <w:rsid w:val="00906E2C"/>
    <w:rsid w:val="00910F1D"/>
    <w:rsid w:val="00912167"/>
    <w:rsid w:val="00913BEE"/>
    <w:rsid w:val="009147CC"/>
    <w:rsid w:val="009156CA"/>
    <w:rsid w:val="00916EE8"/>
    <w:rsid w:val="009220E0"/>
    <w:rsid w:val="00925D22"/>
    <w:rsid w:val="00932F16"/>
    <w:rsid w:val="0093377F"/>
    <w:rsid w:val="0093471C"/>
    <w:rsid w:val="009363BE"/>
    <w:rsid w:val="00940BE8"/>
    <w:rsid w:val="009517D6"/>
    <w:rsid w:val="00952D41"/>
    <w:rsid w:val="00953421"/>
    <w:rsid w:val="00960BCE"/>
    <w:rsid w:val="0096195E"/>
    <w:rsid w:val="00962E2D"/>
    <w:rsid w:val="00962EF9"/>
    <w:rsid w:val="00963265"/>
    <w:rsid w:val="00963291"/>
    <w:rsid w:val="00964907"/>
    <w:rsid w:val="00970EB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0CF6"/>
    <w:rsid w:val="00A41627"/>
    <w:rsid w:val="00A427B0"/>
    <w:rsid w:val="00A4361D"/>
    <w:rsid w:val="00A46EB5"/>
    <w:rsid w:val="00A5037E"/>
    <w:rsid w:val="00A504C2"/>
    <w:rsid w:val="00A5461F"/>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5174"/>
    <w:rsid w:val="00AA60DB"/>
    <w:rsid w:val="00AB04CA"/>
    <w:rsid w:val="00AB08EA"/>
    <w:rsid w:val="00AB1D29"/>
    <w:rsid w:val="00AB27DC"/>
    <w:rsid w:val="00AB2E9E"/>
    <w:rsid w:val="00AB4289"/>
    <w:rsid w:val="00AB54AD"/>
    <w:rsid w:val="00AB5ECD"/>
    <w:rsid w:val="00AB65C0"/>
    <w:rsid w:val="00AD1ED2"/>
    <w:rsid w:val="00AD2454"/>
    <w:rsid w:val="00AD35F6"/>
    <w:rsid w:val="00AD44FD"/>
    <w:rsid w:val="00AD4B81"/>
    <w:rsid w:val="00AE511F"/>
    <w:rsid w:val="00AE75E3"/>
    <w:rsid w:val="00AF455A"/>
    <w:rsid w:val="00AF5968"/>
    <w:rsid w:val="00AF614B"/>
    <w:rsid w:val="00B0364D"/>
    <w:rsid w:val="00B123FB"/>
    <w:rsid w:val="00B1460D"/>
    <w:rsid w:val="00B1500D"/>
    <w:rsid w:val="00B15F84"/>
    <w:rsid w:val="00B16916"/>
    <w:rsid w:val="00B16E11"/>
    <w:rsid w:val="00B22D4B"/>
    <w:rsid w:val="00B23134"/>
    <w:rsid w:val="00B24284"/>
    <w:rsid w:val="00B25EDC"/>
    <w:rsid w:val="00B26DF6"/>
    <w:rsid w:val="00B27215"/>
    <w:rsid w:val="00B35704"/>
    <w:rsid w:val="00B35EEE"/>
    <w:rsid w:val="00B36CC7"/>
    <w:rsid w:val="00B379BB"/>
    <w:rsid w:val="00B41198"/>
    <w:rsid w:val="00B41474"/>
    <w:rsid w:val="00B425C5"/>
    <w:rsid w:val="00B42895"/>
    <w:rsid w:val="00B43113"/>
    <w:rsid w:val="00B504B7"/>
    <w:rsid w:val="00B5485A"/>
    <w:rsid w:val="00B570CA"/>
    <w:rsid w:val="00B64BC0"/>
    <w:rsid w:val="00B65D57"/>
    <w:rsid w:val="00B670A0"/>
    <w:rsid w:val="00B70A2B"/>
    <w:rsid w:val="00B71167"/>
    <w:rsid w:val="00B7127B"/>
    <w:rsid w:val="00B71297"/>
    <w:rsid w:val="00B72575"/>
    <w:rsid w:val="00B72E2B"/>
    <w:rsid w:val="00B72F0E"/>
    <w:rsid w:val="00B76662"/>
    <w:rsid w:val="00B777E2"/>
    <w:rsid w:val="00B8101E"/>
    <w:rsid w:val="00B87C02"/>
    <w:rsid w:val="00B90239"/>
    <w:rsid w:val="00B917F7"/>
    <w:rsid w:val="00B91E8C"/>
    <w:rsid w:val="00B95815"/>
    <w:rsid w:val="00BA0224"/>
    <w:rsid w:val="00BA03D6"/>
    <w:rsid w:val="00BA11E9"/>
    <w:rsid w:val="00BA1AEF"/>
    <w:rsid w:val="00BA2153"/>
    <w:rsid w:val="00BB3C55"/>
    <w:rsid w:val="00BB3DA6"/>
    <w:rsid w:val="00BB5645"/>
    <w:rsid w:val="00BB704D"/>
    <w:rsid w:val="00BC4F86"/>
    <w:rsid w:val="00BC768F"/>
    <w:rsid w:val="00BC7DCE"/>
    <w:rsid w:val="00BD1616"/>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146DB"/>
    <w:rsid w:val="00C15F65"/>
    <w:rsid w:val="00C17EE5"/>
    <w:rsid w:val="00C227AD"/>
    <w:rsid w:val="00C3196D"/>
    <w:rsid w:val="00C3201B"/>
    <w:rsid w:val="00C328D9"/>
    <w:rsid w:val="00C334D2"/>
    <w:rsid w:val="00C36FDB"/>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2DB"/>
    <w:rsid w:val="00CB0F51"/>
    <w:rsid w:val="00CB33E2"/>
    <w:rsid w:val="00CB41A7"/>
    <w:rsid w:val="00CB5E41"/>
    <w:rsid w:val="00CB6271"/>
    <w:rsid w:val="00CB685D"/>
    <w:rsid w:val="00CB77A3"/>
    <w:rsid w:val="00CB7EC8"/>
    <w:rsid w:val="00CC1652"/>
    <w:rsid w:val="00CC1C53"/>
    <w:rsid w:val="00CC4F27"/>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4402"/>
    <w:rsid w:val="00D4581D"/>
    <w:rsid w:val="00D4778A"/>
    <w:rsid w:val="00D47FDB"/>
    <w:rsid w:val="00D50F95"/>
    <w:rsid w:val="00D57A94"/>
    <w:rsid w:val="00D60DD5"/>
    <w:rsid w:val="00D61FF9"/>
    <w:rsid w:val="00D67FAD"/>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D77D5"/>
    <w:rsid w:val="00DE3869"/>
    <w:rsid w:val="00DE5EDB"/>
    <w:rsid w:val="00DE70BF"/>
    <w:rsid w:val="00DE751A"/>
    <w:rsid w:val="00DF3379"/>
    <w:rsid w:val="00DF380E"/>
    <w:rsid w:val="00DF4EF0"/>
    <w:rsid w:val="00DF60ED"/>
    <w:rsid w:val="00E00976"/>
    <w:rsid w:val="00E021DF"/>
    <w:rsid w:val="00E04898"/>
    <w:rsid w:val="00E04DC8"/>
    <w:rsid w:val="00E05C3B"/>
    <w:rsid w:val="00E07318"/>
    <w:rsid w:val="00E07962"/>
    <w:rsid w:val="00E10DA6"/>
    <w:rsid w:val="00E10F96"/>
    <w:rsid w:val="00E14562"/>
    <w:rsid w:val="00E21C97"/>
    <w:rsid w:val="00E2285C"/>
    <w:rsid w:val="00E27168"/>
    <w:rsid w:val="00E30429"/>
    <w:rsid w:val="00E33F98"/>
    <w:rsid w:val="00E34BBC"/>
    <w:rsid w:val="00E35746"/>
    <w:rsid w:val="00E41884"/>
    <w:rsid w:val="00E41F0F"/>
    <w:rsid w:val="00E4347D"/>
    <w:rsid w:val="00E43ECC"/>
    <w:rsid w:val="00E44EE8"/>
    <w:rsid w:val="00E460B1"/>
    <w:rsid w:val="00E50D40"/>
    <w:rsid w:val="00E50EB3"/>
    <w:rsid w:val="00E544DA"/>
    <w:rsid w:val="00E55A0A"/>
    <w:rsid w:val="00E573BA"/>
    <w:rsid w:val="00E6403D"/>
    <w:rsid w:val="00E6449D"/>
    <w:rsid w:val="00E70193"/>
    <w:rsid w:val="00E71828"/>
    <w:rsid w:val="00E728D3"/>
    <w:rsid w:val="00E76BAB"/>
    <w:rsid w:val="00E77455"/>
    <w:rsid w:val="00E81A0F"/>
    <w:rsid w:val="00E845CA"/>
    <w:rsid w:val="00E86246"/>
    <w:rsid w:val="00E87640"/>
    <w:rsid w:val="00E92549"/>
    <w:rsid w:val="00EA61A4"/>
    <w:rsid w:val="00EB04B4"/>
    <w:rsid w:val="00EB5DC6"/>
    <w:rsid w:val="00EC197A"/>
    <w:rsid w:val="00EC2763"/>
    <w:rsid w:val="00ED36A3"/>
    <w:rsid w:val="00ED548F"/>
    <w:rsid w:val="00ED5EE9"/>
    <w:rsid w:val="00EE19A2"/>
    <w:rsid w:val="00EE2726"/>
    <w:rsid w:val="00EF352D"/>
    <w:rsid w:val="00EF4076"/>
    <w:rsid w:val="00F005B8"/>
    <w:rsid w:val="00F00823"/>
    <w:rsid w:val="00F0424A"/>
    <w:rsid w:val="00F13A97"/>
    <w:rsid w:val="00F14397"/>
    <w:rsid w:val="00F20133"/>
    <w:rsid w:val="00F20B5F"/>
    <w:rsid w:val="00F22A71"/>
    <w:rsid w:val="00F23922"/>
    <w:rsid w:val="00F23C0F"/>
    <w:rsid w:val="00F25965"/>
    <w:rsid w:val="00F31A33"/>
    <w:rsid w:val="00F3291B"/>
    <w:rsid w:val="00F32A17"/>
    <w:rsid w:val="00F352D9"/>
    <w:rsid w:val="00F37DB4"/>
    <w:rsid w:val="00F4265D"/>
    <w:rsid w:val="00F45B14"/>
    <w:rsid w:val="00F5337A"/>
    <w:rsid w:val="00F55AFA"/>
    <w:rsid w:val="00F56A27"/>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0AB2"/>
    <w:rsid w:val="00FA11F3"/>
    <w:rsid w:val="00FA39C7"/>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sb8d990e2">
    <w:name w:val="sb8d990e2"/>
    <w:basedOn w:val="DefaultParagraphFont"/>
    <w:rsid w:val="00DF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347812">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15300146">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9192-863B-4E5A-A10A-AEEB5A1B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2457</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2023-12-21T11:22:00Z</cp:lastPrinted>
  <dcterms:created xsi:type="dcterms:W3CDTF">2024-01-04T12:03:00Z</dcterms:created>
  <dcterms:modified xsi:type="dcterms:W3CDTF">2024-01-04T12:03:00Z</dcterms:modified>
</cp:coreProperties>
</file>